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25" w:rsidRDefault="002B1425">
      <w:pPr>
        <w:pStyle w:val="ConsPlusTitlePage"/>
      </w:pPr>
      <w:r>
        <w:br/>
      </w:r>
    </w:p>
    <w:p w:rsidR="002B1425" w:rsidRDefault="002B1425">
      <w:pPr>
        <w:pStyle w:val="ConsPlusNormal"/>
        <w:jc w:val="both"/>
        <w:outlineLvl w:val="0"/>
      </w:pPr>
    </w:p>
    <w:p w:rsidR="002B1425" w:rsidRDefault="002B1425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2B1425" w:rsidRDefault="002B1425">
      <w:pPr>
        <w:pStyle w:val="ConsPlusTitle"/>
        <w:jc w:val="both"/>
      </w:pPr>
    </w:p>
    <w:p w:rsidR="002B1425" w:rsidRDefault="002B1425">
      <w:pPr>
        <w:pStyle w:val="ConsPlusTitle"/>
        <w:jc w:val="center"/>
      </w:pPr>
      <w:r>
        <w:t>ПОСТАНОВЛЕНИЕ</w:t>
      </w:r>
    </w:p>
    <w:p w:rsidR="002B1425" w:rsidRDefault="002B1425">
      <w:pPr>
        <w:pStyle w:val="ConsPlusTitle"/>
        <w:jc w:val="center"/>
      </w:pPr>
      <w:r>
        <w:t>от 5 июля 2021 г. N 329</w:t>
      </w:r>
    </w:p>
    <w:p w:rsidR="002B1425" w:rsidRDefault="002B1425">
      <w:pPr>
        <w:pStyle w:val="ConsPlusTitle"/>
        <w:jc w:val="both"/>
      </w:pPr>
    </w:p>
    <w:p w:rsidR="002B1425" w:rsidRDefault="002B1425">
      <w:pPr>
        <w:pStyle w:val="ConsPlusTitle"/>
        <w:jc w:val="center"/>
      </w:pPr>
      <w:r>
        <w:t xml:space="preserve">ОБ УТВЕРЖДЕНИИ ПОРЯДКА ПРИСОЕДИНЕНИЯ К СТАНДАРТУ </w:t>
      </w:r>
      <w:proofErr w:type="gramStart"/>
      <w:r>
        <w:t>НАЛОГОВОЙ</w:t>
      </w:r>
      <w:proofErr w:type="gramEnd"/>
    </w:p>
    <w:p w:rsidR="002B1425" w:rsidRDefault="002B1425">
      <w:pPr>
        <w:pStyle w:val="ConsPlusTitle"/>
        <w:jc w:val="center"/>
      </w:pPr>
      <w:r>
        <w:t>ОТКРЫТОСТИ ОТВЕТСТВЕННЫХ НАЛОГОПЛАТЕЛЬЩИКОВ</w:t>
      </w:r>
    </w:p>
    <w:p w:rsidR="002B1425" w:rsidRDefault="002B1425">
      <w:pPr>
        <w:pStyle w:val="ConsPlusTitle"/>
        <w:jc w:val="center"/>
        <w:rPr>
          <w:lang w:val="en-US"/>
        </w:rPr>
      </w:pPr>
      <w:r>
        <w:t>РЕСПУБЛИКИ БАШКОРТОСТАН</w:t>
      </w:r>
    </w:p>
    <w:p w:rsidR="001F1EF5" w:rsidRPr="001F1EF5" w:rsidRDefault="001F1EF5">
      <w:pPr>
        <w:pStyle w:val="ConsPlusTitle"/>
        <w:jc w:val="center"/>
        <w:rPr>
          <w:lang w:val="en-US"/>
        </w:rPr>
      </w:pPr>
    </w:p>
    <w:p w:rsidR="001F1EF5" w:rsidRDefault="001F1EF5" w:rsidP="001F1EF5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2B1425" w:rsidRPr="001F1EF5" w:rsidRDefault="001F1EF5" w:rsidP="001F1EF5">
      <w:pPr>
        <w:pStyle w:val="ConsPlusNormal"/>
        <w:jc w:val="center"/>
        <w:rPr>
          <w:color w:val="392C69"/>
        </w:rPr>
      </w:pPr>
      <w:r>
        <w:rPr>
          <w:color w:val="392C69"/>
        </w:rPr>
        <w:t xml:space="preserve">(в ред. Постановления Правительства РБ </w:t>
      </w:r>
      <w:r>
        <w:t xml:space="preserve">от 07.06.2022 </w:t>
      </w:r>
      <w:r w:rsidRPr="00B33EDF">
        <w:t>N 28</w:t>
      </w:r>
      <w:r>
        <w:t>4</w:t>
      </w:r>
      <w:r>
        <w:rPr>
          <w:color w:val="392C69"/>
        </w:rPr>
        <w:t>)</w:t>
      </w:r>
    </w:p>
    <w:p w:rsidR="001F1EF5" w:rsidRPr="001F1EF5" w:rsidRDefault="001F1EF5" w:rsidP="001F1EF5">
      <w:pPr>
        <w:pStyle w:val="ConsPlusNormal"/>
        <w:jc w:val="center"/>
      </w:pPr>
    </w:p>
    <w:p w:rsidR="002B1425" w:rsidRDefault="002B142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Главы Республики Башкортостан от 24 декабря 2018 года N УГ-328 "О применении на территории Республики Башкортостан Стандарта налоговой открытости ответственных налогоплательщиков Республики Башкортостан" Правительство Республики Башкортостан постановляет:</w:t>
      </w:r>
    </w:p>
    <w:p w:rsidR="002B1425" w:rsidRDefault="002B142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присоединения к Стандарту налоговой открытости ответственных налогоплательщиков Республики Башкортостан (далее - Порядок).</w:t>
      </w:r>
    </w:p>
    <w:p w:rsidR="002B1425" w:rsidRDefault="002B1425">
      <w:pPr>
        <w:pStyle w:val="ConsPlusNormal"/>
        <w:spacing w:before="220"/>
        <w:ind w:firstLine="540"/>
        <w:jc w:val="both"/>
      </w:pPr>
      <w:r>
        <w:t>2. Министерству финансов Республики Башкортостан совместно с государственным казенным учреждением Республики Башкортостан "Информационно-аналитический центр" обеспечить проведение организационных мероприятий, предусмотренных Порядком, на территории Республики Башкортостан.</w:t>
      </w:r>
    </w:p>
    <w:p w:rsidR="002B1425" w:rsidRDefault="002B1425">
      <w:pPr>
        <w:pStyle w:val="ConsPlusNormal"/>
        <w:jc w:val="both"/>
      </w:pPr>
    </w:p>
    <w:p w:rsidR="002B1425" w:rsidRDefault="002B1425">
      <w:pPr>
        <w:pStyle w:val="ConsPlusNormal"/>
        <w:jc w:val="right"/>
      </w:pPr>
      <w:r>
        <w:t>Премьер-министр</w:t>
      </w:r>
    </w:p>
    <w:p w:rsidR="002B1425" w:rsidRDefault="002B1425">
      <w:pPr>
        <w:pStyle w:val="ConsPlusNormal"/>
        <w:jc w:val="right"/>
      </w:pPr>
      <w:r>
        <w:t>Правительства</w:t>
      </w:r>
    </w:p>
    <w:p w:rsidR="002B1425" w:rsidRDefault="002B1425">
      <w:pPr>
        <w:pStyle w:val="ConsPlusNormal"/>
        <w:jc w:val="right"/>
      </w:pPr>
      <w:r>
        <w:t>Республики Башкортостан</w:t>
      </w:r>
    </w:p>
    <w:p w:rsidR="002B1425" w:rsidRDefault="002B1425">
      <w:pPr>
        <w:pStyle w:val="ConsPlusNormal"/>
        <w:jc w:val="right"/>
      </w:pPr>
      <w:r>
        <w:t>А.Г.НАЗАРОВ</w:t>
      </w:r>
    </w:p>
    <w:p w:rsidR="002B1425" w:rsidRDefault="002B1425">
      <w:pPr>
        <w:pStyle w:val="ConsPlusNormal"/>
        <w:jc w:val="both"/>
      </w:pPr>
    </w:p>
    <w:p w:rsidR="002B1425" w:rsidRDefault="002B1425">
      <w:pPr>
        <w:pStyle w:val="ConsPlusNormal"/>
        <w:jc w:val="both"/>
      </w:pPr>
    </w:p>
    <w:p w:rsidR="002B1425" w:rsidRDefault="002B1425">
      <w:pPr>
        <w:pStyle w:val="ConsPlusNormal"/>
        <w:jc w:val="both"/>
      </w:pPr>
    </w:p>
    <w:p w:rsidR="002B1425" w:rsidRDefault="002B1425">
      <w:pPr>
        <w:pStyle w:val="ConsPlusNormal"/>
        <w:jc w:val="both"/>
      </w:pPr>
    </w:p>
    <w:p w:rsidR="002B1425" w:rsidRDefault="002B1425">
      <w:pPr>
        <w:pStyle w:val="ConsPlusNormal"/>
        <w:jc w:val="both"/>
      </w:pPr>
    </w:p>
    <w:p w:rsidR="002B1425" w:rsidRDefault="002B1425">
      <w:pPr>
        <w:pStyle w:val="ConsPlusNormal"/>
        <w:jc w:val="right"/>
        <w:outlineLvl w:val="0"/>
      </w:pPr>
      <w:r>
        <w:t>Утвержден</w:t>
      </w:r>
    </w:p>
    <w:p w:rsidR="002B1425" w:rsidRDefault="002B1425">
      <w:pPr>
        <w:pStyle w:val="ConsPlusNormal"/>
        <w:jc w:val="right"/>
      </w:pPr>
      <w:r>
        <w:t>Постановлением Правительства</w:t>
      </w:r>
    </w:p>
    <w:p w:rsidR="002B1425" w:rsidRDefault="002B1425">
      <w:pPr>
        <w:pStyle w:val="ConsPlusNormal"/>
        <w:jc w:val="right"/>
      </w:pPr>
      <w:r>
        <w:t>Республики Башкортостан</w:t>
      </w:r>
    </w:p>
    <w:p w:rsidR="002B1425" w:rsidRDefault="002B1425">
      <w:pPr>
        <w:pStyle w:val="ConsPlusNormal"/>
        <w:jc w:val="right"/>
      </w:pPr>
      <w:r>
        <w:t>от 5 июля 2021 г. N 329</w:t>
      </w:r>
    </w:p>
    <w:p w:rsidR="002B1425" w:rsidRDefault="002B1425">
      <w:pPr>
        <w:pStyle w:val="ConsPlusNormal"/>
        <w:jc w:val="both"/>
      </w:pPr>
    </w:p>
    <w:p w:rsidR="002B1425" w:rsidRDefault="002B1425">
      <w:pPr>
        <w:pStyle w:val="ConsPlusTitle"/>
        <w:jc w:val="center"/>
      </w:pPr>
      <w:bookmarkStart w:id="0" w:name="P28"/>
      <w:bookmarkEnd w:id="0"/>
      <w:r>
        <w:t>ПОРЯДОК</w:t>
      </w:r>
    </w:p>
    <w:p w:rsidR="002B1425" w:rsidRDefault="002B1425">
      <w:pPr>
        <w:pStyle w:val="ConsPlusTitle"/>
        <w:jc w:val="center"/>
      </w:pPr>
      <w:r>
        <w:t xml:space="preserve">ПРИСОЕДИНЕНИЯ К СТАНДАРТУ НАЛОГОВОЙ ОТКРЫТОСТИ </w:t>
      </w:r>
      <w:proofErr w:type="gramStart"/>
      <w:r>
        <w:t>ОТВЕТСТВЕННЫХ</w:t>
      </w:r>
      <w:proofErr w:type="gramEnd"/>
    </w:p>
    <w:p w:rsidR="002B1425" w:rsidRDefault="002B1425">
      <w:pPr>
        <w:pStyle w:val="ConsPlusTitle"/>
        <w:jc w:val="center"/>
      </w:pPr>
      <w:r>
        <w:t>НАЛОГОПЛАТЕЛЬЩИКОВ РЕСПУБЛИКИ БАШКОРТОСТАН</w:t>
      </w:r>
    </w:p>
    <w:p w:rsidR="002B1425" w:rsidRDefault="002B1425">
      <w:pPr>
        <w:pStyle w:val="ConsPlusNormal"/>
        <w:jc w:val="both"/>
      </w:pPr>
    </w:p>
    <w:p w:rsidR="00BA1244" w:rsidRDefault="00BA1244" w:rsidP="00BA1244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BA1244" w:rsidRPr="001F1EF5" w:rsidRDefault="00BA1244" w:rsidP="00BA1244">
      <w:pPr>
        <w:pStyle w:val="ConsPlusNormal"/>
        <w:jc w:val="center"/>
        <w:rPr>
          <w:color w:val="392C69"/>
        </w:rPr>
      </w:pPr>
      <w:r>
        <w:rPr>
          <w:color w:val="392C69"/>
        </w:rPr>
        <w:t xml:space="preserve">(в ред. Постановления Правительства РБ </w:t>
      </w:r>
      <w:r>
        <w:t xml:space="preserve">от 07.06.2022 </w:t>
      </w:r>
      <w:r w:rsidRPr="00B33EDF">
        <w:t>N 28</w:t>
      </w:r>
      <w:r>
        <w:t>4</w:t>
      </w:r>
      <w:r>
        <w:rPr>
          <w:color w:val="392C69"/>
        </w:rPr>
        <w:t>)</w:t>
      </w:r>
    </w:p>
    <w:p w:rsidR="00BA1244" w:rsidRDefault="00BA1244">
      <w:pPr>
        <w:pStyle w:val="ConsPlusNormal"/>
        <w:jc w:val="both"/>
      </w:pPr>
    </w:p>
    <w:p w:rsidR="002B1425" w:rsidRDefault="002B142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последовательность организационных мероприятий по присоединению организаций</w:t>
      </w:r>
      <w:r w:rsidR="00AE7132">
        <w:t xml:space="preserve"> и индивидуальных предпринимателей</w:t>
      </w:r>
      <w:r>
        <w:t xml:space="preserve">, осуществляющих свою деятельность на территории Республики Башкортостан не менее двух лет, состоящих на учете в налоговых органах, уплачивающих налоги, сборы и иные платежи в консолидированный бюджет Республики Башкортостан (далее - организация), к </w:t>
      </w:r>
      <w:hyperlink r:id="rId7" w:history="1">
        <w:r>
          <w:rPr>
            <w:color w:val="0000FF"/>
          </w:rPr>
          <w:t>Стандарту</w:t>
        </w:r>
      </w:hyperlink>
      <w:r>
        <w:t xml:space="preserve"> налоговой открытости ответственных </w:t>
      </w:r>
      <w:r>
        <w:lastRenderedPageBreak/>
        <w:t>налогоплательщиков Республики Башкортостан, утвержденному Указом Главы Республики Башкортостан от 24 декабря 2018 года</w:t>
      </w:r>
      <w:proofErr w:type="gramEnd"/>
      <w:r>
        <w:t xml:space="preserve"> N УГ-328 (далее - Стандарт).</w:t>
      </w:r>
    </w:p>
    <w:p w:rsidR="002B1425" w:rsidRDefault="002B1425">
      <w:pPr>
        <w:pStyle w:val="ConsPlusNormal"/>
        <w:spacing w:before="220"/>
        <w:ind w:firstLine="540"/>
        <w:jc w:val="both"/>
      </w:pPr>
      <w:r>
        <w:t>2. Организационно-техническое обеспечение проведения организационных мероприятий, связанных с присоединением к Стандарту, осуществляют Министерство финансов Республики Башкортостан и государственное казенное учреждение Республики Башкортостан "Информационно-аналитический центр" (далее - ГКУ РБ "ИАЦ").</w:t>
      </w:r>
    </w:p>
    <w:p w:rsidR="002B1425" w:rsidRDefault="002B142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Информация о проведении организационных мероприятий и условия присоединения к Стандарту размещаются в средствах массовой информации, в том числе на официальных сайтах Правительства Республики Башкортостан (http://pravitelstvorb.ru/ru/), Министерства финансов Республики Башкортостан (https://minfin.bashkortostan.ru/) и ГКУ РБ "ИАЦ" (https://iac.bashkortostan.ru/) в информационно-телекоммуникационной сети Интернет, ежегодно не позднее 1 июня включительно.</w:t>
      </w:r>
      <w:proofErr w:type="gramEnd"/>
    </w:p>
    <w:p w:rsidR="002B1425" w:rsidRDefault="002B1425">
      <w:pPr>
        <w:pStyle w:val="ConsPlusNormal"/>
        <w:spacing w:before="220"/>
        <w:ind w:firstLine="540"/>
        <w:jc w:val="both"/>
      </w:pPr>
      <w:r>
        <w:t>Одновременно на указанных сайтах размещаются наименование, место нахождения, почтовый адрес, адрес электронной почты и контактный телефон организатора мероприятий по присоединению к Стандарту, информация о месте и сроке представления уведомлений о присоединении к Стандарту.</w:t>
      </w:r>
    </w:p>
    <w:p w:rsidR="00E403D3" w:rsidRDefault="002B142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целях информирования о соответствии Стандарту и выполнения его условий организация </w:t>
      </w:r>
      <w:r w:rsidR="00EB7692">
        <w:t>(</w:t>
      </w:r>
      <w:r w:rsidR="00AE7132">
        <w:t>индивидуальный предприниматель</w:t>
      </w:r>
      <w:r w:rsidR="00EB7692">
        <w:t>)</w:t>
      </w:r>
      <w:r w:rsidR="00AE7132">
        <w:t xml:space="preserve"> </w:t>
      </w:r>
      <w:r>
        <w:t xml:space="preserve">ежегодно не позднее 31 июля включительно текущего года направляет в Министерство финансов Республики Башкортостан </w:t>
      </w:r>
      <w:r w:rsidR="00F03D5B">
        <w:t>и</w:t>
      </w:r>
      <w:r w:rsidR="00EB7692">
        <w:t>ли</w:t>
      </w:r>
      <w:r w:rsidR="002A762E">
        <w:t xml:space="preserve"> </w:t>
      </w:r>
      <w:r w:rsidR="00F03D5B">
        <w:t xml:space="preserve">ГКУ РБ "ИАЦ", </w:t>
      </w:r>
      <w:r>
        <w:t xml:space="preserve">и публикует на своем официальном сайте в информационно-телекоммуникационной сети Интернет (при наличии) </w:t>
      </w:r>
      <w:hyperlink w:anchor="P60" w:history="1">
        <w:r>
          <w:rPr>
            <w:color w:val="0000FF"/>
          </w:rPr>
          <w:t>уведомление</w:t>
        </w:r>
      </w:hyperlink>
      <w:r>
        <w:t xml:space="preserve"> о присоединении к Стандарту по форме согласно приложению N 1 к настоящему Порядку (далее - уведомление).</w:t>
      </w:r>
      <w:proofErr w:type="gramEnd"/>
    </w:p>
    <w:p w:rsidR="00EB7692" w:rsidRDefault="00EB7692">
      <w:pPr>
        <w:pStyle w:val="ConsPlusNormal"/>
        <w:spacing w:before="220"/>
        <w:ind w:firstLine="540"/>
        <w:jc w:val="both"/>
      </w:pPr>
      <w:bookmarkStart w:id="1" w:name="P37"/>
      <w:bookmarkEnd w:id="1"/>
      <w:r w:rsidRPr="00EB7692">
        <w:t>В случае</w:t>
      </w:r>
      <w:proofErr w:type="gramStart"/>
      <w:r w:rsidRPr="00EB7692">
        <w:t>,</w:t>
      </w:r>
      <w:proofErr w:type="gramEnd"/>
      <w:r w:rsidRPr="00EB7692">
        <w:t xml:space="preserve"> если последний день срока представления уведомления приходится на день, признаваемый в соответствии с законодательством Российской Федерации и (или) Республики Башкортостан выходным и (или) нерабочим праздничным днем, днем окончания срока представления уведомления считается следующий за ним рабочий день.</w:t>
      </w:r>
    </w:p>
    <w:p w:rsidR="002B1425" w:rsidRDefault="002B1425">
      <w:pPr>
        <w:pStyle w:val="ConsPlusNormal"/>
        <w:spacing w:before="220"/>
        <w:ind w:firstLine="540"/>
        <w:jc w:val="both"/>
      </w:pPr>
      <w:r>
        <w:t>5. Подтверждение и раскрытие сведений, предусмотренных уведомлением, осуществляются организацией</w:t>
      </w:r>
      <w:r w:rsidR="004E21CA">
        <w:t xml:space="preserve"> </w:t>
      </w:r>
      <w:r w:rsidR="007D0591">
        <w:t>(</w:t>
      </w:r>
      <w:r w:rsidR="004E21CA">
        <w:t>индивидуальным предпринимателем</w:t>
      </w:r>
      <w:r w:rsidR="007D0591">
        <w:t>)</w:t>
      </w:r>
      <w:r>
        <w:t xml:space="preserve"> по состоянию на календарный год, предшествующий текущему году, и текущий календарный год до даты направления уведомления.</w:t>
      </w:r>
    </w:p>
    <w:p w:rsidR="002B1425" w:rsidRDefault="002B1425">
      <w:pPr>
        <w:pStyle w:val="ConsPlusNormal"/>
        <w:spacing w:before="220"/>
        <w:ind w:firstLine="540"/>
        <w:jc w:val="both"/>
      </w:pPr>
      <w:proofErr w:type="gramStart"/>
      <w:r>
        <w:t>Сведения о сумме исчисленных налогов, сборов и иных платежей, а также информация о размере среднемесячной заработной платы работников организации</w:t>
      </w:r>
      <w:r w:rsidR="00137E3D">
        <w:t xml:space="preserve"> (</w:t>
      </w:r>
      <w:r w:rsidR="00AE7132">
        <w:t>индивидуальн</w:t>
      </w:r>
      <w:r w:rsidR="007D0591">
        <w:t>ого предпринимателя</w:t>
      </w:r>
      <w:r w:rsidR="00137E3D">
        <w:t>)</w:t>
      </w:r>
      <w:r>
        <w:t xml:space="preserve">, занятых на территории Республики Башкортостан, величине налоговой нагрузки организации </w:t>
      </w:r>
      <w:r w:rsidR="00137E3D">
        <w:t>(</w:t>
      </w:r>
      <w:r w:rsidR="00AF2C3F">
        <w:t>индивидуальн</w:t>
      </w:r>
      <w:r w:rsidR="007D0591">
        <w:t>ого</w:t>
      </w:r>
      <w:r w:rsidR="00AF2C3F">
        <w:t xml:space="preserve"> предпринимател</w:t>
      </w:r>
      <w:r w:rsidR="007D0591">
        <w:t>я</w:t>
      </w:r>
      <w:r w:rsidR="00137E3D">
        <w:t>)</w:t>
      </w:r>
      <w:r w:rsidR="00AF2C3F">
        <w:t xml:space="preserve"> </w:t>
      </w:r>
      <w:r>
        <w:t>представляются за два календарных года, предшествующих текущему году, согласно разделу II уведомления "Сведения об организации</w:t>
      </w:r>
      <w:r w:rsidR="008A45A8">
        <w:t xml:space="preserve"> </w:t>
      </w:r>
      <w:r w:rsidR="00137E3D">
        <w:t>(</w:t>
      </w:r>
      <w:r w:rsidR="008A45A8">
        <w:t>индивидуальном предпринимателе</w:t>
      </w:r>
      <w:r w:rsidR="00137E3D">
        <w:t>)</w:t>
      </w:r>
      <w:r>
        <w:t>, подлежащие раскрытию в соответствии с условиями Стандарта".</w:t>
      </w:r>
      <w:proofErr w:type="gramEnd"/>
    </w:p>
    <w:p w:rsidR="002B1425" w:rsidRDefault="002B1425">
      <w:pPr>
        <w:pStyle w:val="ConsPlusNormal"/>
        <w:spacing w:before="220"/>
        <w:ind w:firstLine="540"/>
        <w:jc w:val="both"/>
      </w:pPr>
      <w:r>
        <w:t>6. Уведомление направляется в Министерство финансов Республики Башкортостан</w:t>
      </w:r>
      <w:r w:rsidR="00767271">
        <w:t xml:space="preserve"> и</w:t>
      </w:r>
      <w:r w:rsidR="00EF7B59">
        <w:t>ли</w:t>
      </w:r>
      <w:r w:rsidR="002A762E">
        <w:t xml:space="preserve"> </w:t>
      </w:r>
      <w:r w:rsidR="00767271">
        <w:t>ГКУ РБ "ИАЦ"</w:t>
      </w:r>
      <w:r>
        <w:t xml:space="preserve"> на бумажном носителе и в электронном виде (текст уведомления формируется в формате </w:t>
      </w:r>
      <w:proofErr w:type="spellStart"/>
      <w:r>
        <w:t>pdf</w:t>
      </w:r>
      <w:proofErr w:type="spellEnd"/>
      <w:r>
        <w:t xml:space="preserve">, таблицы уведомления - в формате </w:t>
      </w:r>
      <w:proofErr w:type="spellStart"/>
      <w:r>
        <w:t>xls</w:t>
      </w:r>
      <w:proofErr w:type="spellEnd"/>
      <w:r>
        <w:t xml:space="preserve"> или </w:t>
      </w:r>
      <w:proofErr w:type="spellStart"/>
      <w:r>
        <w:t>xlsx</w:t>
      </w:r>
      <w:proofErr w:type="spellEnd"/>
      <w:r>
        <w:t>).</w:t>
      </w:r>
    </w:p>
    <w:p w:rsidR="00B11265" w:rsidRDefault="002B1425">
      <w:pPr>
        <w:pStyle w:val="ConsPlusNormal"/>
        <w:spacing w:before="220"/>
        <w:ind w:firstLine="540"/>
        <w:jc w:val="both"/>
      </w:pPr>
      <w:r>
        <w:t>7. Министерство финансов Республики Башкортостан регистрирует уведомление не позднее рабочего дня, следующего за днем поступления уведомления, и в течение трех рабочих дней со дня его регистрации направляет уведомление в ГКУ РБ "ИАЦ" для проведения проверки на предмет соответствия условиям Стандарта.</w:t>
      </w:r>
    </w:p>
    <w:p w:rsidR="002B1425" w:rsidRDefault="002B1425">
      <w:pPr>
        <w:pStyle w:val="ConsPlusNormal"/>
        <w:spacing w:before="220"/>
        <w:ind w:firstLine="540"/>
        <w:jc w:val="both"/>
      </w:pPr>
      <w:r>
        <w:t xml:space="preserve">8. ГКУ РБ ИАЦ регистрирует уведомление не позднее рабочего дня, следующего за днем поступления уведомления, и в течение пятнадцати рабочих дней осуществляет проверку уведомлений на предмет соответствия условиям Стандарта и достоверности сведений, указанных </w:t>
      </w:r>
      <w:r>
        <w:lastRenderedPageBreak/>
        <w:t xml:space="preserve">в </w:t>
      </w:r>
      <w:hyperlink w:anchor="P37" w:history="1">
        <w:r>
          <w:rPr>
            <w:color w:val="0000FF"/>
          </w:rPr>
          <w:t>пункте 5</w:t>
        </w:r>
      </w:hyperlink>
      <w:r>
        <w:t xml:space="preserve"> настоящего Порядка. </w:t>
      </w:r>
      <w:proofErr w:type="gramStart"/>
      <w:r>
        <w:t>Проверка сведений производится на основании открытых источников данных, размещаемых в свободном доступе в информационно-телекоммуникационной сети Интернет на официальном сайте Федеральной налоговой службы Российской Федерации (https://www.nalog.ru/rn02/), а также информации, представленной Управлением Федеральной налоговой службы по Республике Башкортостан, Территориальным органом Федеральной службы государственной статистики по Республике Башкортостан в порядке межведомственного информационного взаимодействия.</w:t>
      </w:r>
      <w:proofErr w:type="gramEnd"/>
    </w:p>
    <w:p w:rsidR="002B1425" w:rsidRDefault="002B1425">
      <w:pPr>
        <w:pStyle w:val="ConsPlusNormal"/>
        <w:spacing w:before="220"/>
        <w:ind w:firstLine="540"/>
        <w:jc w:val="both"/>
      </w:pPr>
      <w:r>
        <w:t xml:space="preserve">9. ГКУ РБ "ИАЦ" в срок до 25 августа включительно текущего года направляет в Министерство финансов Республики Башкортостан аналитическую справку о результатах проведенной проверки уведомлений и сформированный </w:t>
      </w:r>
      <w:hyperlink w:anchor="P268" w:history="1">
        <w:r>
          <w:rPr>
            <w:color w:val="0000FF"/>
          </w:rPr>
          <w:t>перечень</w:t>
        </w:r>
      </w:hyperlink>
      <w:r>
        <w:t xml:space="preserve"> организаций</w:t>
      </w:r>
      <w:r w:rsidR="008A45A8">
        <w:t xml:space="preserve"> и индивидуальных предпринимателей</w:t>
      </w:r>
      <w:r>
        <w:t>, присоединившихся к Стандарту, по форме согласно приложению N 2 к настоящему Порядку (далее - перечень).</w:t>
      </w:r>
    </w:p>
    <w:p w:rsidR="002B1425" w:rsidRDefault="002B1425">
      <w:pPr>
        <w:pStyle w:val="ConsPlusNormal"/>
        <w:spacing w:before="220"/>
        <w:ind w:firstLine="540"/>
        <w:jc w:val="both"/>
      </w:pPr>
      <w:r>
        <w:t xml:space="preserve">В случае установления в ходе проверки уведомления фактов несоответствия условиям присоединения к Стандарту ГКУ РБ "ИАЦ" уведомляет Министерство финансов Республики Башкортостан в аналитической справке о причинах невключения отдельных организаций </w:t>
      </w:r>
      <w:r w:rsidR="008A45A8">
        <w:t xml:space="preserve">и индивидуальных предпринимателей </w:t>
      </w:r>
      <w:r>
        <w:t>в перечень.</w:t>
      </w:r>
    </w:p>
    <w:p w:rsidR="002B1425" w:rsidRDefault="002B1425">
      <w:pPr>
        <w:pStyle w:val="ConsPlusNormal"/>
        <w:spacing w:before="220"/>
        <w:ind w:firstLine="540"/>
        <w:jc w:val="both"/>
      </w:pPr>
      <w:r>
        <w:t>10. Перечень размещается на официальном сайте Министерства финансов Республики Башкортостан в информационно-телекоммуникационной сети Интернет (https://minfin.bashkortostan.ru/) в срок до 30 августа включительно текущего года.</w:t>
      </w:r>
    </w:p>
    <w:p w:rsidR="002B1425" w:rsidRDefault="002B1425">
      <w:pPr>
        <w:pStyle w:val="ConsPlusNormal"/>
        <w:spacing w:before="220"/>
        <w:ind w:firstLine="540"/>
        <w:jc w:val="both"/>
      </w:pPr>
      <w:r>
        <w:t>11. Организациям</w:t>
      </w:r>
      <w:r w:rsidR="008A45A8">
        <w:t xml:space="preserve"> </w:t>
      </w:r>
      <w:r w:rsidR="00DE53C2">
        <w:t>(</w:t>
      </w:r>
      <w:r w:rsidR="008A45A8">
        <w:t>индивидуальным предпринимателям</w:t>
      </w:r>
      <w:r w:rsidR="00DE53C2">
        <w:t>)</w:t>
      </w:r>
      <w:r>
        <w:t>, не включенным в перечень, ГКУ РБ "ИАЦ" до 10 сентября включительно текущего года направляет уведомление с мотивированным отказом во включении в перечень в форме электронного документа по адресу электронной почты (при наличии) и в письменной форме по почтовому адресу, указанным в уведомлении.</w:t>
      </w:r>
    </w:p>
    <w:p w:rsidR="002B1425" w:rsidRDefault="002B1425">
      <w:pPr>
        <w:pStyle w:val="ConsPlusNormal"/>
        <w:spacing w:before="220"/>
        <w:ind w:firstLine="540"/>
        <w:jc w:val="both"/>
      </w:pPr>
      <w:r>
        <w:t>12. ГКУ РБ "ИАЦ" обеспечивает хранение уведомлений в течение 5 лет со дня регистрации.</w:t>
      </w:r>
    </w:p>
    <w:p w:rsidR="002B1425" w:rsidRDefault="002B1425">
      <w:pPr>
        <w:pStyle w:val="ConsPlusNormal"/>
        <w:spacing w:before="220"/>
        <w:ind w:firstLine="540"/>
        <w:jc w:val="both"/>
      </w:pPr>
      <w:r>
        <w:t>13. Организациям</w:t>
      </w:r>
      <w:r w:rsidR="008A45A8">
        <w:t xml:space="preserve"> и индивидуальным предпринимателям</w:t>
      </w:r>
      <w:r>
        <w:t xml:space="preserve">, присоединившимся к Стандарту, при участии в ежегодном республиканском конкурсе "Налогоплательщик года" начисляются дополнительные баллы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проведении ежегодного республиканского конкурса "Налогоплательщик года", утвержденным Постановлением Правительства Республики Башкортостан от 18 марта 2019 года N 147.</w:t>
      </w:r>
    </w:p>
    <w:p w:rsidR="002B1425" w:rsidRDefault="002B1425">
      <w:pPr>
        <w:pStyle w:val="ConsPlusNormal"/>
        <w:spacing w:before="220"/>
        <w:ind w:firstLine="540"/>
        <w:jc w:val="both"/>
      </w:pPr>
      <w:r>
        <w:t>14. Присоединение организаций</w:t>
      </w:r>
      <w:r w:rsidR="00AF2C3F">
        <w:t xml:space="preserve"> и индивидуальных предпринимателей</w:t>
      </w:r>
      <w:r>
        <w:t xml:space="preserve"> к Стандарту не влечет за собой возникновения обязательств Республики Башкортостан перед ними.</w:t>
      </w:r>
    </w:p>
    <w:p w:rsidR="002B1425" w:rsidRDefault="002B1425">
      <w:pPr>
        <w:pStyle w:val="ConsPlusNormal"/>
        <w:jc w:val="both"/>
      </w:pPr>
    </w:p>
    <w:p w:rsidR="002B1425" w:rsidRDefault="002B1425">
      <w:pPr>
        <w:pStyle w:val="ConsPlusNormal"/>
        <w:jc w:val="both"/>
      </w:pPr>
    </w:p>
    <w:p w:rsidR="002B1425" w:rsidRDefault="002B1425">
      <w:pPr>
        <w:pStyle w:val="ConsPlusNormal"/>
        <w:jc w:val="both"/>
      </w:pPr>
    </w:p>
    <w:p w:rsidR="002B1425" w:rsidRDefault="002B1425">
      <w:pPr>
        <w:pStyle w:val="ConsPlusNormal"/>
        <w:jc w:val="both"/>
      </w:pPr>
    </w:p>
    <w:p w:rsidR="003B155B" w:rsidRDefault="003B155B">
      <w:pPr>
        <w:pStyle w:val="ConsPlusNormal"/>
        <w:jc w:val="both"/>
      </w:pPr>
    </w:p>
    <w:p w:rsidR="003B155B" w:rsidRDefault="003B155B">
      <w:pPr>
        <w:pStyle w:val="ConsPlusNormal"/>
        <w:jc w:val="both"/>
      </w:pPr>
    </w:p>
    <w:p w:rsidR="003B155B" w:rsidRDefault="003B155B">
      <w:pPr>
        <w:pStyle w:val="ConsPlusNormal"/>
        <w:jc w:val="both"/>
      </w:pPr>
    </w:p>
    <w:p w:rsidR="003B155B" w:rsidRDefault="003B155B">
      <w:pPr>
        <w:pStyle w:val="ConsPlusNormal"/>
        <w:jc w:val="both"/>
      </w:pPr>
    </w:p>
    <w:p w:rsidR="003B155B" w:rsidRDefault="003B155B">
      <w:pPr>
        <w:pStyle w:val="ConsPlusNormal"/>
        <w:jc w:val="both"/>
      </w:pPr>
    </w:p>
    <w:p w:rsidR="003B155B" w:rsidRDefault="003B155B">
      <w:pPr>
        <w:pStyle w:val="ConsPlusNormal"/>
        <w:jc w:val="both"/>
      </w:pPr>
    </w:p>
    <w:p w:rsidR="003B155B" w:rsidRDefault="003B155B">
      <w:pPr>
        <w:pStyle w:val="ConsPlusNormal"/>
        <w:jc w:val="both"/>
      </w:pPr>
    </w:p>
    <w:p w:rsidR="003B155B" w:rsidRDefault="003B155B">
      <w:pPr>
        <w:pStyle w:val="ConsPlusNormal"/>
        <w:jc w:val="both"/>
      </w:pPr>
    </w:p>
    <w:p w:rsidR="003B155B" w:rsidRDefault="003B155B">
      <w:pPr>
        <w:pStyle w:val="ConsPlusNormal"/>
        <w:jc w:val="both"/>
      </w:pPr>
    </w:p>
    <w:p w:rsidR="003B155B" w:rsidRDefault="003B155B">
      <w:pPr>
        <w:pStyle w:val="ConsPlusNormal"/>
        <w:jc w:val="both"/>
      </w:pPr>
    </w:p>
    <w:p w:rsidR="003B155B" w:rsidRDefault="003B155B">
      <w:pPr>
        <w:pStyle w:val="ConsPlusNormal"/>
        <w:jc w:val="both"/>
      </w:pPr>
    </w:p>
    <w:p w:rsidR="00960CC5" w:rsidRDefault="00960CC5">
      <w:pPr>
        <w:pStyle w:val="ConsPlusNormal"/>
        <w:jc w:val="both"/>
      </w:pPr>
    </w:p>
    <w:p w:rsidR="003B155B" w:rsidRDefault="003B155B">
      <w:pPr>
        <w:pStyle w:val="ConsPlusNormal"/>
        <w:jc w:val="both"/>
      </w:pPr>
    </w:p>
    <w:p w:rsidR="003B155B" w:rsidRDefault="003B155B">
      <w:pPr>
        <w:pStyle w:val="ConsPlusNormal"/>
        <w:jc w:val="both"/>
      </w:pPr>
    </w:p>
    <w:p w:rsidR="003B155B" w:rsidRDefault="003B155B">
      <w:pPr>
        <w:pStyle w:val="ConsPlusNormal"/>
        <w:jc w:val="both"/>
      </w:pPr>
    </w:p>
    <w:p w:rsidR="003B155B" w:rsidRDefault="003B155B">
      <w:pPr>
        <w:pStyle w:val="ConsPlusNormal"/>
        <w:jc w:val="both"/>
      </w:pPr>
    </w:p>
    <w:p w:rsidR="002B1425" w:rsidRDefault="002B1425">
      <w:pPr>
        <w:pStyle w:val="ConsPlusNormal"/>
        <w:jc w:val="both"/>
      </w:pPr>
    </w:p>
    <w:p w:rsidR="002B1425" w:rsidRDefault="002B1425">
      <w:pPr>
        <w:pStyle w:val="ConsPlusNormal"/>
        <w:jc w:val="right"/>
        <w:outlineLvl w:val="1"/>
      </w:pPr>
      <w:r>
        <w:t>Приложение N 1</w:t>
      </w:r>
    </w:p>
    <w:p w:rsidR="002B1425" w:rsidRDefault="002B1425">
      <w:pPr>
        <w:pStyle w:val="ConsPlusNormal"/>
        <w:jc w:val="right"/>
      </w:pPr>
      <w:r>
        <w:t>к Порядку присоединения</w:t>
      </w:r>
    </w:p>
    <w:p w:rsidR="002B1425" w:rsidRDefault="002B1425">
      <w:pPr>
        <w:pStyle w:val="ConsPlusNormal"/>
        <w:jc w:val="right"/>
      </w:pPr>
      <w:r>
        <w:t>к Стандарту налоговой открытости</w:t>
      </w:r>
    </w:p>
    <w:p w:rsidR="002B1425" w:rsidRDefault="002B1425">
      <w:pPr>
        <w:pStyle w:val="ConsPlusNormal"/>
        <w:jc w:val="right"/>
      </w:pPr>
      <w:r>
        <w:t>ответственных налогоплательщиков</w:t>
      </w:r>
    </w:p>
    <w:p w:rsidR="002B1425" w:rsidRDefault="002B1425">
      <w:pPr>
        <w:pStyle w:val="ConsPlusNormal"/>
        <w:jc w:val="right"/>
      </w:pPr>
      <w:r>
        <w:t>Республики Башкортостан</w:t>
      </w:r>
    </w:p>
    <w:p w:rsidR="00BA1244" w:rsidRDefault="00BA1244" w:rsidP="00BA1244">
      <w:pPr>
        <w:pStyle w:val="ConsPlusNormal"/>
        <w:jc w:val="center"/>
        <w:rPr>
          <w:color w:val="392C69"/>
        </w:rPr>
      </w:pPr>
    </w:p>
    <w:p w:rsidR="00BA1244" w:rsidRDefault="00BA1244" w:rsidP="00BA1244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BA1244" w:rsidRPr="001F1EF5" w:rsidRDefault="00BA1244" w:rsidP="00BA1244">
      <w:pPr>
        <w:pStyle w:val="ConsPlusNormal"/>
        <w:jc w:val="center"/>
        <w:rPr>
          <w:color w:val="392C69"/>
        </w:rPr>
      </w:pPr>
      <w:r>
        <w:rPr>
          <w:color w:val="392C69"/>
        </w:rPr>
        <w:t xml:space="preserve">(в ред. Постановления Правительства РБ </w:t>
      </w:r>
      <w:r>
        <w:t xml:space="preserve">от 07.06.2022 </w:t>
      </w:r>
      <w:r w:rsidRPr="00B33EDF">
        <w:t>N 28</w:t>
      </w:r>
      <w:r>
        <w:t>4</w:t>
      </w:r>
      <w:r>
        <w:rPr>
          <w:color w:val="392C69"/>
        </w:rPr>
        <w:t>)</w:t>
      </w:r>
    </w:p>
    <w:p w:rsidR="002B1425" w:rsidRDefault="002B1425">
      <w:pPr>
        <w:pStyle w:val="ConsPlusNormal"/>
        <w:jc w:val="both"/>
      </w:pPr>
    </w:p>
    <w:p w:rsidR="002B1425" w:rsidRDefault="002B1425">
      <w:pPr>
        <w:pStyle w:val="ConsPlusNonformat"/>
        <w:jc w:val="both"/>
      </w:pPr>
      <w:bookmarkStart w:id="2" w:name="P60"/>
      <w:bookmarkEnd w:id="2"/>
      <w:r>
        <w:t xml:space="preserve">                                Уведомление</w:t>
      </w:r>
    </w:p>
    <w:p w:rsidR="002B1425" w:rsidRDefault="002B1425">
      <w:pPr>
        <w:pStyle w:val="ConsPlusNonformat"/>
        <w:jc w:val="both"/>
      </w:pPr>
    </w:p>
    <w:p w:rsidR="002B1425" w:rsidRDefault="002B1425">
      <w:pPr>
        <w:pStyle w:val="ConsPlusNonformat"/>
        <w:jc w:val="both"/>
      </w:pPr>
      <w:r>
        <w:t>___________________________________________________________________________</w:t>
      </w:r>
    </w:p>
    <w:p w:rsidR="002B1425" w:rsidRDefault="002B1425" w:rsidP="003B155B">
      <w:pPr>
        <w:pStyle w:val="ConsPlusNonformat"/>
        <w:jc w:val="center"/>
      </w:pPr>
      <w:r>
        <w:t>(полное наименование и ИНН организации</w:t>
      </w:r>
      <w:r w:rsidR="00960CC5">
        <w:t xml:space="preserve"> (</w:t>
      </w:r>
      <w:r w:rsidR="008A45A8">
        <w:t>индивидуальн</w:t>
      </w:r>
      <w:r w:rsidR="00484AA0">
        <w:t>ого</w:t>
      </w:r>
      <w:r w:rsidR="008A45A8">
        <w:t xml:space="preserve"> предпринимател</w:t>
      </w:r>
      <w:r w:rsidR="00484AA0">
        <w:t>я</w:t>
      </w:r>
      <w:r w:rsidR="00960CC5">
        <w:t>)</w:t>
      </w:r>
      <w:r w:rsidR="00817404">
        <w:t>, юридический адрес,</w:t>
      </w:r>
      <w:r>
        <w:t xml:space="preserve"> адрес электронной почты (при наличии))</w:t>
      </w:r>
    </w:p>
    <w:p w:rsidR="002B1425" w:rsidRDefault="002B1425">
      <w:pPr>
        <w:pStyle w:val="ConsPlusNonformat"/>
        <w:jc w:val="both"/>
      </w:pPr>
    </w:p>
    <w:p w:rsidR="002B1425" w:rsidRDefault="002B1425">
      <w:pPr>
        <w:pStyle w:val="ConsPlusNonformat"/>
        <w:jc w:val="both"/>
      </w:pPr>
      <w:r>
        <w:t xml:space="preserve">о    присоединении   к   Стандарту   налоговой   открытости   </w:t>
      </w:r>
      <w:proofErr w:type="gramStart"/>
      <w:r>
        <w:t>ответственных</w:t>
      </w:r>
      <w:proofErr w:type="gramEnd"/>
    </w:p>
    <w:p w:rsidR="002B1425" w:rsidRDefault="002B1425">
      <w:pPr>
        <w:pStyle w:val="ConsPlusNonformat"/>
        <w:jc w:val="both"/>
      </w:pPr>
      <w:proofErr w:type="gramStart"/>
      <w:r>
        <w:t>налогоплательщиков  Республики  Башкортостан и о соответствии установленным</w:t>
      </w:r>
      <w:proofErr w:type="gramEnd"/>
    </w:p>
    <w:p w:rsidR="002B1425" w:rsidRDefault="002B1425">
      <w:pPr>
        <w:pStyle w:val="ConsPlusNonformat"/>
        <w:jc w:val="both"/>
      </w:pPr>
      <w:r>
        <w:t>условиям.</w:t>
      </w:r>
    </w:p>
    <w:p w:rsidR="002B1425" w:rsidRDefault="002B1425">
      <w:pPr>
        <w:pStyle w:val="ConsPlusNonformat"/>
        <w:jc w:val="both"/>
      </w:pPr>
    </w:p>
    <w:p w:rsidR="002B1425" w:rsidRDefault="002B1425">
      <w:pPr>
        <w:pStyle w:val="ConsPlusNonformat"/>
        <w:jc w:val="both"/>
      </w:pPr>
      <w:r>
        <w:t xml:space="preserve">    Приложение:  сведения  о  соответствии  условиям  Стандарта и сведения,</w:t>
      </w:r>
    </w:p>
    <w:p w:rsidR="002B1425" w:rsidRDefault="002B1425">
      <w:pPr>
        <w:pStyle w:val="ConsPlusNonformat"/>
        <w:jc w:val="both"/>
      </w:pPr>
      <w:r>
        <w:t>подлежащие раскрытию согласно условиям Стандарта.</w:t>
      </w:r>
    </w:p>
    <w:p w:rsidR="002B1425" w:rsidRDefault="002B1425">
      <w:pPr>
        <w:pStyle w:val="ConsPlusNonformat"/>
        <w:jc w:val="both"/>
      </w:pPr>
    </w:p>
    <w:p w:rsidR="002B1425" w:rsidRDefault="002B1425">
      <w:pPr>
        <w:pStyle w:val="ConsPlusNonformat"/>
        <w:jc w:val="both"/>
      </w:pPr>
      <w:r>
        <w:t>Руководитель                      ___________ _____________________________</w:t>
      </w:r>
    </w:p>
    <w:p w:rsidR="002B1425" w:rsidRDefault="002B1425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2B1425" w:rsidRDefault="002B1425">
      <w:pPr>
        <w:pStyle w:val="ConsPlusNonformat"/>
        <w:jc w:val="both"/>
      </w:pPr>
      <w:r>
        <w:t>"___" ___________ 20___ г.</w:t>
      </w:r>
    </w:p>
    <w:p w:rsidR="002B1425" w:rsidRDefault="002B1425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05390E" w:rsidRDefault="0005390E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12758B" w:rsidRDefault="0012758B">
      <w:pPr>
        <w:pStyle w:val="ConsPlusNonformat"/>
        <w:jc w:val="both"/>
      </w:pPr>
    </w:p>
    <w:p w:rsidR="002B1425" w:rsidRDefault="002B1425">
      <w:pPr>
        <w:pStyle w:val="ConsPlusNonformat"/>
        <w:jc w:val="both"/>
      </w:pPr>
      <w:r>
        <w:t xml:space="preserve">                                I. Сведения</w:t>
      </w:r>
    </w:p>
    <w:p w:rsidR="002B1425" w:rsidRDefault="002B1425">
      <w:pPr>
        <w:pStyle w:val="ConsPlusNonformat"/>
        <w:jc w:val="both"/>
      </w:pPr>
    </w:p>
    <w:p w:rsidR="002B1425" w:rsidRDefault="002B1425">
      <w:pPr>
        <w:pStyle w:val="ConsPlusNonformat"/>
        <w:jc w:val="both"/>
      </w:pPr>
      <w:r>
        <w:t xml:space="preserve">            о соответствии __________________________ условиям</w:t>
      </w:r>
    </w:p>
    <w:p w:rsidR="00C13573" w:rsidRDefault="002B1425" w:rsidP="00EA19B2">
      <w:pPr>
        <w:pStyle w:val="ConsPlusNonformat"/>
        <w:jc w:val="center"/>
      </w:pPr>
      <w:proofErr w:type="gramStart"/>
      <w:r>
        <w:t>(наименование организации</w:t>
      </w:r>
      <w:r w:rsidR="00C13573">
        <w:t>, индивидуальн</w:t>
      </w:r>
      <w:r w:rsidR="0005390E">
        <w:t>ого</w:t>
      </w:r>
      <w:proofErr w:type="gramEnd"/>
    </w:p>
    <w:p w:rsidR="002B1425" w:rsidRDefault="00C13573" w:rsidP="00EA19B2">
      <w:pPr>
        <w:pStyle w:val="ConsPlusNonformat"/>
        <w:jc w:val="center"/>
      </w:pPr>
      <w:r>
        <w:t>предпринимател</w:t>
      </w:r>
      <w:r w:rsidR="0005390E">
        <w:t>я</w:t>
      </w:r>
      <w:r w:rsidR="002B1425">
        <w:t>)</w:t>
      </w:r>
    </w:p>
    <w:p w:rsidR="002B1425" w:rsidRDefault="002B1425">
      <w:pPr>
        <w:pStyle w:val="ConsPlusNonformat"/>
        <w:jc w:val="both"/>
      </w:pPr>
    </w:p>
    <w:p w:rsidR="002B1425" w:rsidRDefault="002B1425">
      <w:pPr>
        <w:pStyle w:val="ConsPlusNonformat"/>
        <w:jc w:val="both"/>
      </w:pPr>
      <w:r>
        <w:t xml:space="preserve">               Стандарта налоговой открытости </w:t>
      </w:r>
      <w:proofErr w:type="gramStart"/>
      <w:r>
        <w:t>ответственных</w:t>
      </w:r>
      <w:proofErr w:type="gramEnd"/>
    </w:p>
    <w:p w:rsidR="002B1425" w:rsidRDefault="002B1425">
      <w:pPr>
        <w:pStyle w:val="ConsPlusNonformat"/>
        <w:jc w:val="both"/>
      </w:pPr>
      <w:r>
        <w:t xml:space="preserve">                налогоплательщиков Республики Башкортостан</w:t>
      </w:r>
    </w:p>
    <w:p w:rsidR="002B1425" w:rsidRDefault="002B1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18"/>
        <w:gridCol w:w="1796"/>
      </w:tblGrid>
      <w:tr w:rsidR="002B1425">
        <w:tc>
          <w:tcPr>
            <w:tcW w:w="510" w:type="dxa"/>
            <w:vAlign w:val="center"/>
          </w:tcPr>
          <w:p w:rsidR="002B1425" w:rsidRDefault="002B14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18" w:type="dxa"/>
            <w:vAlign w:val="center"/>
          </w:tcPr>
          <w:p w:rsidR="002B1425" w:rsidRDefault="002B1425">
            <w:pPr>
              <w:pStyle w:val="ConsPlusNormal"/>
              <w:jc w:val="center"/>
            </w:pPr>
            <w:r>
              <w:t>Условие Стандарта</w:t>
            </w:r>
          </w:p>
        </w:tc>
        <w:tc>
          <w:tcPr>
            <w:tcW w:w="1796" w:type="dxa"/>
            <w:vAlign w:val="bottom"/>
          </w:tcPr>
          <w:p w:rsidR="002B1425" w:rsidRDefault="002B1425" w:rsidP="0005390E">
            <w:pPr>
              <w:pStyle w:val="ConsPlusNormal"/>
              <w:jc w:val="center"/>
            </w:pPr>
            <w:r>
              <w:t>Соответствие организации</w:t>
            </w:r>
            <w:r w:rsidR="00FD2986">
              <w:t xml:space="preserve"> </w:t>
            </w:r>
            <w:r w:rsidR="0005390E">
              <w:t xml:space="preserve">и </w:t>
            </w:r>
            <w:r w:rsidR="00910B85">
              <w:t>индивидуаль-н</w:t>
            </w:r>
            <w:r w:rsidR="00190DBF">
              <w:t>ого</w:t>
            </w:r>
            <w:r w:rsidR="00910B85">
              <w:t xml:space="preserve"> предпри-нимател</w:t>
            </w:r>
            <w:r w:rsidR="00190DBF">
              <w:t>я</w:t>
            </w:r>
            <w:r>
              <w:t xml:space="preserve"> условию (да/нет)</w:t>
            </w:r>
          </w:p>
        </w:tc>
      </w:tr>
      <w:tr w:rsidR="002B1425">
        <w:tc>
          <w:tcPr>
            <w:tcW w:w="510" w:type="dxa"/>
          </w:tcPr>
          <w:p w:rsidR="002B1425" w:rsidRDefault="002B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8" w:type="dxa"/>
            <w:vAlign w:val="bottom"/>
          </w:tcPr>
          <w:p w:rsidR="002B1425" w:rsidRDefault="002B1425" w:rsidP="0005390E">
            <w:pPr>
              <w:pStyle w:val="ConsPlusNormal"/>
            </w:pPr>
            <w:r>
              <w:t>Организация</w:t>
            </w:r>
            <w:r w:rsidR="00E36356">
              <w:t xml:space="preserve"> </w:t>
            </w:r>
            <w:r w:rsidR="0005390E">
              <w:t xml:space="preserve">и </w:t>
            </w:r>
            <w:r w:rsidR="00E36356">
              <w:t>индивидуальный предприниматель</w:t>
            </w:r>
            <w:r>
              <w:t xml:space="preserve"> своевременно уплачивает законно установленные налоги, сборы и иные платежи в консолидированный бюджет Республики Башкортостан</w:t>
            </w:r>
          </w:p>
        </w:tc>
        <w:tc>
          <w:tcPr>
            <w:tcW w:w="1796" w:type="dxa"/>
          </w:tcPr>
          <w:p w:rsidR="002B1425" w:rsidRDefault="002B1425">
            <w:pPr>
              <w:pStyle w:val="ConsPlusNormal"/>
            </w:pPr>
          </w:p>
        </w:tc>
      </w:tr>
      <w:tr w:rsidR="002B1425">
        <w:tc>
          <w:tcPr>
            <w:tcW w:w="510" w:type="dxa"/>
          </w:tcPr>
          <w:p w:rsidR="002B1425" w:rsidRDefault="002B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8" w:type="dxa"/>
            <w:vAlign w:val="bottom"/>
          </w:tcPr>
          <w:p w:rsidR="002B1425" w:rsidRDefault="002B1425" w:rsidP="0005390E">
            <w:pPr>
              <w:pStyle w:val="ConsPlusNormal"/>
            </w:pPr>
            <w:r>
              <w:t xml:space="preserve">Организация </w:t>
            </w:r>
            <w:r w:rsidR="0005390E">
              <w:t>и индивидуальный предприниматель</w:t>
            </w:r>
            <w:r w:rsidR="006E5B0D">
              <w:t xml:space="preserve"> </w:t>
            </w:r>
            <w:r>
              <w:t>своевременно представляет в установленном порядке в налоговый орган по месту учета налоговые декларации (расчеты)</w:t>
            </w:r>
          </w:p>
        </w:tc>
        <w:tc>
          <w:tcPr>
            <w:tcW w:w="1796" w:type="dxa"/>
          </w:tcPr>
          <w:p w:rsidR="002B1425" w:rsidRDefault="002B1425">
            <w:pPr>
              <w:pStyle w:val="ConsPlusNormal"/>
            </w:pPr>
          </w:p>
        </w:tc>
      </w:tr>
      <w:tr w:rsidR="002B1425">
        <w:tc>
          <w:tcPr>
            <w:tcW w:w="510" w:type="dxa"/>
          </w:tcPr>
          <w:p w:rsidR="002B1425" w:rsidRDefault="002B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8" w:type="dxa"/>
            <w:vAlign w:val="bottom"/>
          </w:tcPr>
          <w:p w:rsidR="002B1425" w:rsidRDefault="002B1425" w:rsidP="00190DBF">
            <w:pPr>
              <w:pStyle w:val="ConsPlusNormal"/>
            </w:pPr>
            <w:r>
              <w:t>В числе должностных лиц организации отсутствуют дисквалифицированные лица, а также лица, в отношении которых факт невозможности участия (осуществления руководства) в организации установлен (подтвержден) в судебном порядке</w:t>
            </w:r>
          </w:p>
        </w:tc>
        <w:tc>
          <w:tcPr>
            <w:tcW w:w="1796" w:type="dxa"/>
          </w:tcPr>
          <w:p w:rsidR="002B1425" w:rsidRDefault="002B1425">
            <w:pPr>
              <w:pStyle w:val="ConsPlusNormal"/>
            </w:pPr>
          </w:p>
        </w:tc>
      </w:tr>
      <w:tr w:rsidR="002B1425">
        <w:tc>
          <w:tcPr>
            <w:tcW w:w="510" w:type="dxa"/>
          </w:tcPr>
          <w:p w:rsidR="002B1425" w:rsidRDefault="002B1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8" w:type="dxa"/>
            <w:vAlign w:val="bottom"/>
          </w:tcPr>
          <w:p w:rsidR="002B1425" w:rsidRDefault="002B1425" w:rsidP="0005390E">
            <w:pPr>
              <w:pStyle w:val="ConsPlusNormal"/>
            </w:pPr>
            <w:r>
              <w:t>Организация</w:t>
            </w:r>
            <w:r w:rsidR="0005390E">
              <w:t xml:space="preserve"> </w:t>
            </w:r>
            <w:r w:rsidR="00B933CB">
              <w:t xml:space="preserve">и </w:t>
            </w:r>
            <w:r w:rsidR="00E36356">
              <w:t xml:space="preserve">индивидуальный предприниматель </w:t>
            </w:r>
            <w:r>
              <w:t>не имеет правонарушений в сфере налогов, сборов и иных платежей</w:t>
            </w:r>
            <w:r w:rsidR="001322A8">
              <w:t>,</w:t>
            </w:r>
            <w:r w:rsidR="00067C76">
              <w:t xml:space="preserve"> </w:t>
            </w:r>
            <w:r w:rsidR="00067C76" w:rsidRPr="00067C76">
              <w:t>поступающих в консолидированный бюджет Республики Башкортостан</w:t>
            </w:r>
            <w:r w:rsidR="001322A8">
              <w:t>,</w:t>
            </w:r>
            <w:r w:rsidR="00067C76">
              <w:t xml:space="preserve"> </w:t>
            </w:r>
            <w:r>
              <w:t xml:space="preserve"> за последний календарный год, предшествующий году направления уведомления, и текущий календарный год до даты направления уведомления</w:t>
            </w:r>
          </w:p>
        </w:tc>
        <w:tc>
          <w:tcPr>
            <w:tcW w:w="1796" w:type="dxa"/>
          </w:tcPr>
          <w:p w:rsidR="002B1425" w:rsidRDefault="002B1425">
            <w:pPr>
              <w:pStyle w:val="ConsPlusNormal"/>
            </w:pPr>
          </w:p>
        </w:tc>
      </w:tr>
      <w:tr w:rsidR="002B1425">
        <w:tc>
          <w:tcPr>
            <w:tcW w:w="510" w:type="dxa"/>
          </w:tcPr>
          <w:p w:rsidR="002B1425" w:rsidRDefault="002B1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8" w:type="dxa"/>
            <w:vAlign w:val="center"/>
          </w:tcPr>
          <w:p w:rsidR="002B1425" w:rsidRDefault="002B1425" w:rsidP="00B933CB">
            <w:pPr>
              <w:pStyle w:val="ConsPlusNormal"/>
            </w:pPr>
            <w:r>
              <w:t xml:space="preserve">Организация </w:t>
            </w:r>
            <w:r w:rsidR="00B933CB">
              <w:t>и индивидуальный предприниматель</w:t>
            </w:r>
            <w:r w:rsidR="00E36356">
              <w:t xml:space="preserve"> </w:t>
            </w:r>
            <w:r>
              <w:t>не имеет задолженности по налогам, сборам и иным платежам в бюджеты бюджетной системы Российской Федерации на 1 июня текущего года</w:t>
            </w:r>
          </w:p>
        </w:tc>
        <w:tc>
          <w:tcPr>
            <w:tcW w:w="1796" w:type="dxa"/>
          </w:tcPr>
          <w:p w:rsidR="002B1425" w:rsidRDefault="002B1425">
            <w:pPr>
              <w:pStyle w:val="ConsPlusNormal"/>
            </w:pPr>
          </w:p>
        </w:tc>
      </w:tr>
    </w:tbl>
    <w:p w:rsidR="002B1425" w:rsidRDefault="002B1425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12758B" w:rsidRDefault="0012758B">
      <w:pPr>
        <w:pStyle w:val="ConsPlusNormal"/>
        <w:jc w:val="both"/>
      </w:pPr>
    </w:p>
    <w:p w:rsidR="002B1425" w:rsidRDefault="002B1425" w:rsidP="00AF348E">
      <w:pPr>
        <w:pStyle w:val="ConsPlusNonformat"/>
        <w:jc w:val="center"/>
      </w:pPr>
      <w:r>
        <w:t>II. Сведения</w:t>
      </w:r>
    </w:p>
    <w:p w:rsidR="002B1425" w:rsidRDefault="002B1425" w:rsidP="00AF348E">
      <w:pPr>
        <w:pStyle w:val="ConsPlusNonformat"/>
        <w:jc w:val="center"/>
      </w:pPr>
      <w:r>
        <w:t>о ___________________________________________________, подлежащие раскрытию</w:t>
      </w:r>
    </w:p>
    <w:p w:rsidR="002B1425" w:rsidRDefault="002B1425" w:rsidP="00AF348E">
      <w:pPr>
        <w:pStyle w:val="ConsPlusNonformat"/>
        <w:jc w:val="center"/>
      </w:pPr>
      <w:r>
        <w:t>(наименование организации</w:t>
      </w:r>
      <w:r w:rsidR="000D7E7F">
        <w:t xml:space="preserve"> (</w:t>
      </w:r>
      <w:r w:rsidR="00E36356">
        <w:t>индивидуальн</w:t>
      </w:r>
      <w:r w:rsidR="00B933CB">
        <w:t>ого</w:t>
      </w:r>
      <w:r w:rsidR="00E36356">
        <w:t xml:space="preserve"> предпринимател</w:t>
      </w:r>
      <w:r w:rsidR="00B933CB">
        <w:t>я</w:t>
      </w:r>
      <w:r w:rsidR="00226AC1">
        <w:t>)</w:t>
      </w:r>
      <w:r>
        <w:t>)</w:t>
      </w:r>
    </w:p>
    <w:p w:rsidR="002B1425" w:rsidRDefault="002B1425" w:rsidP="00AF348E">
      <w:pPr>
        <w:pStyle w:val="ConsPlusNonformat"/>
        <w:jc w:val="center"/>
      </w:pPr>
      <w:r>
        <w:t xml:space="preserve">в  соответствии  с  условиями  Стандарта налоговой открытости </w:t>
      </w:r>
      <w:proofErr w:type="gramStart"/>
      <w:r>
        <w:t>ответственных</w:t>
      </w:r>
      <w:proofErr w:type="gramEnd"/>
    </w:p>
    <w:p w:rsidR="002B1425" w:rsidRDefault="002B1425" w:rsidP="00AF348E">
      <w:pPr>
        <w:pStyle w:val="ConsPlusNonformat"/>
        <w:jc w:val="center"/>
      </w:pPr>
      <w:r>
        <w:t>налогоплательщиков Республики Башкортостан</w:t>
      </w:r>
    </w:p>
    <w:p w:rsidR="002B1425" w:rsidRDefault="002B1425" w:rsidP="00AF348E">
      <w:pPr>
        <w:pStyle w:val="ConsPlusNonformat"/>
        <w:jc w:val="center"/>
      </w:pPr>
    </w:p>
    <w:p w:rsidR="002B1425" w:rsidRDefault="002B1425" w:rsidP="00AF348E">
      <w:pPr>
        <w:pStyle w:val="ConsPlusNonformat"/>
        <w:jc w:val="center"/>
      </w:pPr>
      <w:r>
        <w:t>1. Сумма исчисленных налогов, сборов и иных платежей</w:t>
      </w:r>
    </w:p>
    <w:p w:rsidR="002B1425" w:rsidRDefault="002B1425">
      <w:pPr>
        <w:pStyle w:val="ConsPlusNonformat"/>
        <w:jc w:val="both"/>
      </w:pPr>
    </w:p>
    <w:p w:rsidR="002B1425" w:rsidRDefault="002B1425" w:rsidP="00E94871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4D2D48" w:rsidRDefault="004D2D48" w:rsidP="00E94871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907"/>
        <w:gridCol w:w="2211"/>
        <w:gridCol w:w="907"/>
        <w:gridCol w:w="2211"/>
      </w:tblGrid>
      <w:tr w:rsidR="004D2D48" w:rsidTr="0005390E">
        <w:tc>
          <w:tcPr>
            <w:tcW w:w="510" w:type="dxa"/>
            <w:vMerge w:val="restart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3118" w:type="dxa"/>
            <w:gridSpan w:val="2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 xml:space="preserve">Исчислено за 20___ г. </w:t>
            </w:r>
            <w:hyperlink w:anchor="P2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  <w:gridSpan w:val="2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 xml:space="preserve">Исчислено за 20___ г. </w:t>
            </w:r>
            <w:hyperlink w:anchor="P20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D2D48" w:rsidTr="0005390E">
        <w:tc>
          <w:tcPr>
            <w:tcW w:w="510" w:type="dxa"/>
            <w:vMerge/>
          </w:tcPr>
          <w:p w:rsidR="004D2D48" w:rsidRDefault="004D2D48" w:rsidP="0005390E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4D2D48" w:rsidRDefault="004D2D48" w:rsidP="0005390E">
            <w:pPr>
              <w:spacing w:after="1" w:line="0" w:lineRule="atLeast"/>
            </w:pPr>
          </w:p>
        </w:tc>
        <w:tc>
          <w:tcPr>
            <w:tcW w:w="907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1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в том числе подлежит зачислению в консолидированный бюджет Республики Башкортостан</w:t>
            </w:r>
          </w:p>
        </w:tc>
        <w:tc>
          <w:tcPr>
            <w:tcW w:w="907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1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в том числе подлежит зачислению в консолидированный бюджет Республики Башкортостан</w:t>
            </w:r>
          </w:p>
        </w:tc>
      </w:tr>
      <w:tr w:rsidR="004D2D48" w:rsidTr="0005390E">
        <w:tc>
          <w:tcPr>
            <w:tcW w:w="510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6</w:t>
            </w:r>
          </w:p>
        </w:tc>
      </w:tr>
      <w:tr w:rsidR="004D2D48" w:rsidTr="0005390E">
        <w:tc>
          <w:tcPr>
            <w:tcW w:w="510" w:type="dxa"/>
          </w:tcPr>
          <w:p w:rsidR="004D2D48" w:rsidRDefault="004D2D48" w:rsidP="000539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4D2D48" w:rsidRDefault="004D2D48" w:rsidP="0005390E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</w:tcPr>
          <w:p w:rsidR="004D2D48" w:rsidRDefault="004D2D48" w:rsidP="000539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Align w:val="bottom"/>
          </w:tcPr>
          <w:p w:rsidR="004D2D48" w:rsidRDefault="004D2D48" w:rsidP="0005390E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</w:tcPr>
          <w:p w:rsidR="004D2D48" w:rsidRDefault="004D2D48" w:rsidP="000539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4D2D48" w:rsidRDefault="004D2D48" w:rsidP="0005390E">
            <w:pPr>
              <w:pStyle w:val="ConsPlusNormal"/>
            </w:pPr>
            <w:r>
              <w:t>Налог на добычу полезных ископаемых</w:t>
            </w: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  <w:vAlign w:val="bottom"/>
          </w:tcPr>
          <w:p w:rsidR="004D2D48" w:rsidRDefault="004D2D48" w:rsidP="000539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vAlign w:val="bottom"/>
          </w:tcPr>
          <w:p w:rsidR="004D2D48" w:rsidRDefault="004D2D48" w:rsidP="0005390E">
            <w:pPr>
              <w:pStyle w:val="ConsPlusNormal"/>
            </w:pPr>
            <w:r>
              <w:t>Акцизы</w:t>
            </w: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</w:tcPr>
          <w:p w:rsidR="004D2D48" w:rsidRDefault="004D2D48" w:rsidP="000539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vAlign w:val="bottom"/>
          </w:tcPr>
          <w:p w:rsidR="004D2D48" w:rsidRDefault="004D2D48" w:rsidP="0005390E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  <w:vAlign w:val="bottom"/>
          </w:tcPr>
          <w:p w:rsidR="004D2D48" w:rsidRDefault="004D2D48" w:rsidP="000539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vAlign w:val="bottom"/>
          </w:tcPr>
          <w:p w:rsidR="004D2D48" w:rsidRDefault="004D2D48" w:rsidP="0005390E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</w:tcPr>
          <w:p w:rsidR="004D2D48" w:rsidRDefault="004D2D48" w:rsidP="000539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vAlign w:val="bottom"/>
          </w:tcPr>
          <w:p w:rsidR="004D2D48" w:rsidRDefault="004D2D48" w:rsidP="0005390E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</w:tcPr>
          <w:p w:rsidR="004D2D48" w:rsidRDefault="004D2D48" w:rsidP="000539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  <w:vAlign w:val="center"/>
          </w:tcPr>
          <w:p w:rsidR="004D2D48" w:rsidRDefault="004D2D48" w:rsidP="0005390E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</w:tcPr>
          <w:p w:rsidR="004D2D48" w:rsidRDefault="004D2D48" w:rsidP="000539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  <w:vAlign w:val="center"/>
          </w:tcPr>
          <w:p w:rsidR="004D2D48" w:rsidRDefault="004D2D48" w:rsidP="0005390E">
            <w:pPr>
              <w:pStyle w:val="ConsPlusNormal"/>
            </w:pPr>
            <w:r>
              <w:t>Налог, уплачиваемый в связи с применением упрощенной системы налогообложения</w:t>
            </w: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665" w:type="dxa"/>
            <w:vAlign w:val="center"/>
          </w:tcPr>
          <w:p w:rsidR="004D2D48" w:rsidRDefault="004D2D48" w:rsidP="0005390E">
            <w:pPr>
              <w:pStyle w:val="ConsPlusNormal"/>
            </w:pPr>
            <w:r>
              <w:t>Земельный налог</w:t>
            </w: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</w:tr>
      <w:tr w:rsidR="000D7E7F" w:rsidTr="0005390E">
        <w:tc>
          <w:tcPr>
            <w:tcW w:w="510" w:type="dxa"/>
            <w:vAlign w:val="center"/>
          </w:tcPr>
          <w:p w:rsidR="000D7E7F" w:rsidRDefault="00BC6D31" w:rsidP="000539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65" w:type="dxa"/>
            <w:vAlign w:val="center"/>
          </w:tcPr>
          <w:p w:rsidR="000D7E7F" w:rsidRDefault="000D7E7F" w:rsidP="0005390E">
            <w:pPr>
              <w:pStyle w:val="ConsPlusNormal"/>
            </w:pPr>
            <w:r>
              <w:t>Налог</w:t>
            </w:r>
            <w:r w:rsidR="006E56D4">
              <w:t>, взимаемый в связи с применением патентной системы налогообложения</w:t>
            </w:r>
          </w:p>
        </w:tc>
        <w:tc>
          <w:tcPr>
            <w:tcW w:w="907" w:type="dxa"/>
          </w:tcPr>
          <w:p w:rsidR="000D7E7F" w:rsidRDefault="000D7E7F" w:rsidP="0005390E">
            <w:pPr>
              <w:pStyle w:val="ConsPlusNormal"/>
            </w:pPr>
          </w:p>
        </w:tc>
        <w:tc>
          <w:tcPr>
            <w:tcW w:w="2211" w:type="dxa"/>
          </w:tcPr>
          <w:p w:rsidR="000D7E7F" w:rsidRDefault="000D7E7F" w:rsidP="0005390E">
            <w:pPr>
              <w:pStyle w:val="ConsPlusNormal"/>
            </w:pPr>
          </w:p>
        </w:tc>
        <w:tc>
          <w:tcPr>
            <w:tcW w:w="907" w:type="dxa"/>
          </w:tcPr>
          <w:p w:rsidR="000D7E7F" w:rsidRDefault="000D7E7F" w:rsidP="0005390E">
            <w:pPr>
              <w:pStyle w:val="ConsPlusNormal"/>
            </w:pPr>
          </w:p>
        </w:tc>
        <w:tc>
          <w:tcPr>
            <w:tcW w:w="2211" w:type="dxa"/>
          </w:tcPr>
          <w:p w:rsidR="000D7E7F" w:rsidRDefault="000D7E7F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  <w:vAlign w:val="center"/>
          </w:tcPr>
          <w:p w:rsidR="004D2D48" w:rsidRPr="00D86B61" w:rsidRDefault="006E56D4" w:rsidP="0005390E">
            <w:pPr>
              <w:pStyle w:val="ConsPlusNormal"/>
              <w:jc w:val="center"/>
            </w:pPr>
            <w:r w:rsidRPr="00D86B61">
              <w:t>12</w:t>
            </w:r>
          </w:p>
          <w:p w:rsidR="004D2D48" w:rsidRPr="00CF3BA3" w:rsidRDefault="004D2D48" w:rsidP="0005390E">
            <w:pPr>
              <w:pStyle w:val="ConsPlusNormal"/>
              <w:jc w:val="center"/>
            </w:pPr>
          </w:p>
        </w:tc>
        <w:tc>
          <w:tcPr>
            <w:tcW w:w="2665" w:type="dxa"/>
            <w:vAlign w:val="center"/>
          </w:tcPr>
          <w:p w:rsidR="004D2D48" w:rsidRDefault="004D2D48" w:rsidP="0005390E">
            <w:pPr>
              <w:pStyle w:val="ConsPlusNormal"/>
            </w:pPr>
            <w:r>
              <w:t>Иные платежи</w:t>
            </w: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4D2D48" w:rsidRDefault="004D2D48" w:rsidP="0005390E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907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11" w:type="dxa"/>
          </w:tcPr>
          <w:p w:rsidR="004D2D48" w:rsidRDefault="004D2D48" w:rsidP="0005390E">
            <w:pPr>
              <w:pStyle w:val="ConsPlusNormal"/>
            </w:pPr>
          </w:p>
        </w:tc>
      </w:tr>
    </w:tbl>
    <w:p w:rsidR="004D2D48" w:rsidRDefault="004D2D48" w:rsidP="00E94871">
      <w:pPr>
        <w:pStyle w:val="ConsPlusNonformat"/>
        <w:jc w:val="both"/>
      </w:pPr>
    </w:p>
    <w:p w:rsidR="004D2D48" w:rsidRDefault="004D2D48" w:rsidP="00E94871">
      <w:pPr>
        <w:pStyle w:val="ConsPlusNonformat"/>
        <w:jc w:val="both"/>
      </w:pPr>
    </w:p>
    <w:p w:rsidR="004D2D48" w:rsidRDefault="004D2D48" w:rsidP="004D2D48">
      <w:pPr>
        <w:pStyle w:val="ConsPlusNonformat"/>
        <w:jc w:val="both"/>
      </w:pPr>
      <w:r>
        <w:t xml:space="preserve">    --------------------------------</w:t>
      </w:r>
    </w:p>
    <w:p w:rsidR="004D2D48" w:rsidRDefault="004D2D48" w:rsidP="004D2D48">
      <w:pPr>
        <w:pStyle w:val="ConsPlusNonformat"/>
        <w:jc w:val="both"/>
      </w:pPr>
      <w:bookmarkStart w:id="3" w:name="P201"/>
      <w:bookmarkEnd w:id="3"/>
      <w:r>
        <w:t xml:space="preserve">    &lt;1</w:t>
      </w:r>
      <w:proofErr w:type="gramStart"/>
      <w:r>
        <w:t>&gt;   У</w:t>
      </w:r>
      <w:proofErr w:type="gramEnd"/>
      <w:r>
        <w:t>казывается  календарный  год,  предшествующий  году  направления</w:t>
      </w:r>
    </w:p>
    <w:p w:rsidR="004D2D48" w:rsidRDefault="004D2D48" w:rsidP="004D2D48">
      <w:pPr>
        <w:pStyle w:val="ConsPlusNonformat"/>
        <w:jc w:val="both"/>
      </w:pPr>
      <w:r>
        <w:t>уведомления о соответствии условиям Стандарта.</w:t>
      </w:r>
    </w:p>
    <w:p w:rsidR="004D2D48" w:rsidRDefault="004D2D48" w:rsidP="004D2D48">
      <w:pPr>
        <w:pStyle w:val="ConsPlusNonformat"/>
        <w:jc w:val="both"/>
      </w:pPr>
      <w:bookmarkStart w:id="4" w:name="P203"/>
      <w:bookmarkEnd w:id="4"/>
      <w:r>
        <w:t xml:space="preserve">    &lt;2</w:t>
      </w:r>
      <w:proofErr w:type="gramStart"/>
      <w:r>
        <w:t>&gt;  У</w:t>
      </w:r>
      <w:proofErr w:type="gramEnd"/>
      <w:r>
        <w:t>казывается  календарный  год,  предшествующий  году, указанному в</w:t>
      </w:r>
    </w:p>
    <w:p w:rsidR="004D2D48" w:rsidRDefault="004D2D48" w:rsidP="004D2D48">
      <w:pPr>
        <w:pStyle w:val="ConsPlusNonformat"/>
        <w:jc w:val="both"/>
      </w:pPr>
      <w:proofErr w:type="gramStart"/>
      <w:r>
        <w:t>графах</w:t>
      </w:r>
      <w:proofErr w:type="gramEnd"/>
      <w:r>
        <w:t xml:space="preserve"> 3 и 4.</w:t>
      </w:r>
    </w:p>
    <w:p w:rsidR="004D2D48" w:rsidRDefault="004D2D48" w:rsidP="004D2D48">
      <w:pPr>
        <w:pStyle w:val="ConsPlusNormal"/>
      </w:pPr>
    </w:p>
    <w:p w:rsidR="004D2D48" w:rsidRDefault="004D2D48" w:rsidP="004D2D48">
      <w:pPr>
        <w:pStyle w:val="ConsPlusNonformat"/>
        <w:jc w:val="center"/>
      </w:pPr>
      <w:r>
        <w:t>2. Размер среднемесячной заработной платы работников</w:t>
      </w:r>
    </w:p>
    <w:p w:rsidR="004D2D48" w:rsidRDefault="00820172" w:rsidP="004D2D48">
      <w:pPr>
        <w:pStyle w:val="ConsPlusNonformat"/>
        <w:jc w:val="center"/>
      </w:pPr>
      <w:r>
        <w:t>о</w:t>
      </w:r>
      <w:r w:rsidR="004D2D48">
        <w:t>рганизации</w:t>
      </w:r>
      <w:r w:rsidR="000547A6">
        <w:t xml:space="preserve"> </w:t>
      </w:r>
      <w:r w:rsidR="00AA2310">
        <w:t xml:space="preserve">и </w:t>
      </w:r>
      <w:r w:rsidR="004D2D48">
        <w:t xml:space="preserve">индивидуального предпринимателя, </w:t>
      </w:r>
      <w:proofErr w:type="gramStart"/>
      <w:r w:rsidR="004D2D48">
        <w:t>занятых</w:t>
      </w:r>
      <w:proofErr w:type="gramEnd"/>
      <w:r w:rsidR="004D2D48">
        <w:t xml:space="preserve"> на территории Республики Башкортостан,</w:t>
      </w:r>
      <w:r w:rsidR="00811BA7">
        <w:t xml:space="preserve"> </w:t>
      </w:r>
      <w:r w:rsidR="004D2D48">
        <w:t>и величина налоговой нагрузки организации</w:t>
      </w:r>
    </w:p>
    <w:p w:rsidR="004D2D48" w:rsidRDefault="004D2D48" w:rsidP="004D2D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871"/>
        <w:gridCol w:w="1814"/>
      </w:tblGrid>
      <w:tr w:rsidR="004D2D48" w:rsidTr="0005390E">
        <w:tc>
          <w:tcPr>
            <w:tcW w:w="510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Показатель, единица изменения</w:t>
            </w:r>
          </w:p>
        </w:tc>
        <w:tc>
          <w:tcPr>
            <w:tcW w:w="1871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 xml:space="preserve">За 20___ г. </w:t>
            </w:r>
            <w:hyperlink w:anchor="P2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14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 xml:space="preserve">За 20___ г. </w:t>
            </w:r>
            <w:hyperlink w:anchor="P24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D2D48" w:rsidTr="0005390E">
        <w:tc>
          <w:tcPr>
            <w:tcW w:w="510" w:type="dxa"/>
          </w:tcPr>
          <w:p w:rsidR="004D2D48" w:rsidRDefault="004D2D48" w:rsidP="000539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vAlign w:val="center"/>
          </w:tcPr>
          <w:p w:rsidR="004D2D48" w:rsidRDefault="004D2D48" w:rsidP="00432974">
            <w:pPr>
              <w:pStyle w:val="ConsPlusNormal"/>
            </w:pPr>
            <w:r>
              <w:t xml:space="preserve">Сумма уплаченных налогов </w:t>
            </w:r>
            <w:r w:rsidR="002D792E" w:rsidRPr="00EA19B2">
              <w:t>организацией</w:t>
            </w:r>
            <w:r>
              <w:t xml:space="preserve"> </w:t>
            </w:r>
            <w:r w:rsidR="00811BA7">
              <w:t xml:space="preserve">и </w:t>
            </w:r>
            <w:r>
              <w:t>индивидуальным предпринимателем</w:t>
            </w:r>
            <w:hyperlink w:anchor="P244" w:history="1">
              <w:r>
                <w:rPr>
                  <w:color w:val="0000FF"/>
                </w:rPr>
                <w:t>&lt;5&gt;</w:t>
              </w:r>
            </w:hyperlink>
            <w:r>
              <w:t>, тыс. рублей</w:t>
            </w:r>
          </w:p>
        </w:tc>
        <w:tc>
          <w:tcPr>
            <w:tcW w:w="187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1814" w:type="dxa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  <w:vAlign w:val="bottom"/>
          </w:tcPr>
          <w:p w:rsidR="004D2D48" w:rsidRDefault="004D2D48" w:rsidP="000539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  <w:vAlign w:val="bottom"/>
          </w:tcPr>
          <w:p w:rsidR="004D2D48" w:rsidRDefault="004D2D48" w:rsidP="00811BA7">
            <w:pPr>
              <w:pStyle w:val="ConsPlusNormal"/>
            </w:pPr>
            <w:r>
              <w:t xml:space="preserve">Выручка организации </w:t>
            </w:r>
            <w:r w:rsidR="00432974">
              <w:t>(</w:t>
            </w:r>
            <w:r>
              <w:t>индивидуального предпринимателя</w:t>
            </w:r>
            <w:r w:rsidR="00432974">
              <w:t>)</w:t>
            </w:r>
            <w:hyperlink w:anchor="P247" w:history="1">
              <w:r>
                <w:rPr>
                  <w:color w:val="0000FF"/>
                </w:rPr>
                <w:t>&lt;6&gt;</w:t>
              </w:r>
            </w:hyperlink>
            <w:r>
              <w:t>, тыс. рублей</w:t>
            </w:r>
          </w:p>
        </w:tc>
        <w:tc>
          <w:tcPr>
            <w:tcW w:w="187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1814" w:type="dxa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  <w:vAlign w:val="bottom"/>
          </w:tcPr>
          <w:p w:rsidR="004D2D48" w:rsidRDefault="004D2D48" w:rsidP="000539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  <w:vAlign w:val="bottom"/>
          </w:tcPr>
          <w:p w:rsidR="004D2D48" w:rsidRDefault="004D2D48" w:rsidP="00811BA7">
            <w:pPr>
              <w:pStyle w:val="ConsPlusNormal"/>
            </w:pPr>
            <w:r>
              <w:t xml:space="preserve">Налоговая нагрузка организации </w:t>
            </w:r>
            <w:r w:rsidR="00811BA7">
              <w:t xml:space="preserve"> </w:t>
            </w:r>
            <w:r w:rsidR="00432974">
              <w:t>(</w:t>
            </w:r>
            <w:r w:rsidR="00811BA7">
              <w:t>индивидуального предпринимателя</w:t>
            </w:r>
            <w:r w:rsidR="00432974">
              <w:t>)</w:t>
            </w:r>
            <w:r>
              <w:t xml:space="preserve"> </w:t>
            </w:r>
            <w:hyperlink w:anchor="P248" w:history="1">
              <w:r>
                <w:rPr>
                  <w:color w:val="0000FF"/>
                </w:rPr>
                <w:t>&lt;7&gt;</w:t>
              </w:r>
            </w:hyperlink>
            <w:r>
              <w:t>, %</w:t>
            </w:r>
          </w:p>
        </w:tc>
        <w:tc>
          <w:tcPr>
            <w:tcW w:w="187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1814" w:type="dxa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</w:tcPr>
          <w:p w:rsidR="004D2D48" w:rsidRDefault="004D2D48" w:rsidP="000539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  <w:vAlign w:val="bottom"/>
          </w:tcPr>
          <w:p w:rsidR="004D2D48" w:rsidRDefault="004D2D48" w:rsidP="00811BA7">
            <w:pPr>
              <w:pStyle w:val="ConsPlusNormal"/>
            </w:pPr>
            <w:r>
              <w:t>Фонд начисленной заработной платы в отношении работников организации</w:t>
            </w:r>
            <w:r w:rsidR="00811BA7">
              <w:t xml:space="preserve"> </w:t>
            </w:r>
            <w:r w:rsidR="00432974">
              <w:t>(</w:t>
            </w:r>
            <w:r>
              <w:t>индивидуального предпринимателя</w:t>
            </w:r>
            <w:r w:rsidR="00432974">
              <w:t>)</w:t>
            </w:r>
            <w:r>
              <w:t xml:space="preserve">, занятых на территории Республики Башкортостан </w:t>
            </w:r>
            <w:hyperlink w:anchor="P249" w:history="1">
              <w:r>
                <w:rPr>
                  <w:color w:val="0000FF"/>
                </w:rPr>
                <w:t>&lt;8&gt;</w:t>
              </w:r>
            </w:hyperlink>
            <w:r>
              <w:t>, тыс. рублей</w:t>
            </w:r>
          </w:p>
        </w:tc>
        <w:tc>
          <w:tcPr>
            <w:tcW w:w="187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1814" w:type="dxa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</w:tcPr>
          <w:p w:rsidR="004D2D48" w:rsidRDefault="004D2D48" w:rsidP="000539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  <w:vAlign w:val="bottom"/>
          </w:tcPr>
          <w:p w:rsidR="004D2D48" w:rsidRDefault="004D2D48" w:rsidP="00811BA7">
            <w:pPr>
              <w:pStyle w:val="ConsPlusNormal"/>
            </w:pPr>
            <w:r>
              <w:t xml:space="preserve">Среднесписочная численность работников организации </w:t>
            </w:r>
            <w:r w:rsidR="00811BA7">
              <w:t xml:space="preserve"> </w:t>
            </w:r>
            <w:r w:rsidR="00432974">
              <w:t>(</w:t>
            </w:r>
            <w:r>
              <w:t>индивидуального предпринимателя</w:t>
            </w:r>
            <w:r w:rsidR="00432974">
              <w:t>)</w:t>
            </w:r>
            <w:r>
              <w:t>, занятых на территории Республики Башкортостан, чел.</w:t>
            </w:r>
          </w:p>
        </w:tc>
        <w:tc>
          <w:tcPr>
            <w:tcW w:w="187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1814" w:type="dxa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</w:tcPr>
          <w:p w:rsidR="004D2D48" w:rsidRDefault="004D2D48" w:rsidP="000539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  <w:vAlign w:val="bottom"/>
          </w:tcPr>
          <w:p w:rsidR="004D2D48" w:rsidRDefault="004D2D48" w:rsidP="00811BA7">
            <w:pPr>
              <w:pStyle w:val="ConsPlusNormal"/>
            </w:pPr>
            <w:r>
              <w:t xml:space="preserve">Среднемесячная заработная плата работников организации </w:t>
            </w:r>
            <w:r w:rsidR="00432974">
              <w:t>(</w:t>
            </w:r>
            <w:r>
              <w:t>индивидуального предпринимателя</w:t>
            </w:r>
            <w:r w:rsidR="00432974">
              <w:t>)</w:t>
            </w:r>
            <w:r>
              <w:t xml:space="preserve">, занятых на территории Республики Башкортостан </w:t>
            </w:r>
            <w:hyperlink w:anchor="P255" w:history="1">
              <w:r>
                <w:rPr>
                  <w:color w:val="0000FF"/>
                </w:rPr>
                <w:t>&lt;9&gt;</w:t>
              </w:r>
            </w:hyperlink>
            <w:r>
              <w:t>, руб.</w:t>
            </w:r>
          </w:p>
        </w:tc>
        <w:tc>
          <w:tcPr>
            <w:tcW w:w="1871" w:type="dxa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1814" w:type="dxa"/>
          </w:tcPr>
          <w:p w:rsidR="004D2D48" w:rsidRDefault="004D2D48" w:rsidP="0005390E">
            <w:pPr>
              <w:pStyle w:val="ConsPlusNormal"/>
            </w:pPr>
          </w:p>
        </w:tc>
      </w:tr>
    </w:tbl>
    <w:p w:rsidR="004D2D48" w:rsidRDefault="004D2D48" w:rsidP="004D2D48">
      <w:pPr>
        <w:pStyle w:val="ConsPlusNormal"/>
        <w:jc w:val="both"/>
      </w:pPr>
    </w:p>
    <w:p w:rsidR="004D2D48" w:rsidRDefault="004D2D48" w:rsidP="004D2D48">
      <w:pPr>
        <w:pStyle w:val="ConsPlusNonformat"/>
        <w:jc w:val="both"/>
      </w:pPr>
      <w:r>
        <w:t xml:space="preserve">    ----------------------------</w:t>
      </w:r>
    </w:p>
    <w:p w:rsidR="004D2D48" w:rsidRDefault="004D2D48" w:rsidP="004D2D48">
      <w:pPr>
        <w:pStyle w:val="ConsPlusNonformat"/>
        <w:jc w:val="both"/>
      </w:pPr>
      <w:bookmarkStart w:id="5" w:name="P240"/>
      <w:bookmarkEnd w:id="5"/>
      <w:r>
        <w:t xml:space="preserve">    &lt;3</w:t>
      </w:r>
      <w:proofErr w:type="gramStart"/>
      <w:r>
        <w:t>&gt; У</w:t>
      </w:r>
      <w:proofErr w:type="gramEnd"/>
      <w:r>
        <w:t>казывается  календарный   год,   предшествующий  году  направления</w:t>
      </w:r>
    </w:p>
    <w:p w:rsidR="004D2D48" w:rsidRDefault="004D2D48" w:rsidP="004D2D48">
      <w:pPr>
        <w:pStyle w:val="ConsPlusNonformat"/>
        <w:jc w:val="both"/>
      </w:pPr>
      <w:r>
        <w:t>уведомления о соответствии условиям Стандарта.</w:t>
      </w:r>
    </w:p>
    <w:p w:rsidR="004D2D48" w:rsidRDefault="004D2D48" w:rsidP="004D2D48">
      <w:pPr>
        <w:pStyle w:val="ConsPlusNonformat"/>
        <w:jc w:val="both"/>
      </w:pPr>
      <w:bookmarkStart w:id="6" w:name="P242"/>
      <w:bookmarkEnd w:id="6"/>
      <w:r>
        <w:t xml:space="preserve">    &lt;4</w:t>
      </w:r>
      <w:proofErr w:type="gramStart"/>
      <w:r>
        <w:t>&gt;  У</w:t>
      </w:r>
      <w:proofErr w:type="gramEnd"/>
      <w:r>
        <w:t>казывается  календарный  год,  предшествующий  году, указанному в</w:t>
      </w:r>
    </w:p>
    <w:p w:rsidR="004D2D48" w:rsidRDefault="004D2D48" w:rsidP="004D2D48">
      <w:pPr>
        <w:pStyle w:val="ConsPlusNonformat"/>
        <w:jc w:val="both"/>
      </w:pPr>
      <w:r>
        <w:t>графе 3.</w:t>
      </w:r>
    </w:p>
    <w:p w:rsidR="004D2D48" w:rsidRDefault="004D2D48" w:rsidP="004D2D48">
      <w:pPr>
        <w:pStyle w:val="ConsPlusNonformat"/>
        <w:jc w:val="both"/>
      </w:pPr>
      <w:bookmarkStart w:id="7" w:name="P244"/>
      <w:bookmarkEnd w:id="7"/>
      <w:r>
        <w:lastRenderedPageBreak/>
        <w:t xml:space="preserve">    &lt;5&gt;   Сумма  уплаченных  налогов  корректируется  с  учетом  возвратов,</w:t>
      </w:r>
    </w:p>
    <w:p w:rsidR="004D2D48" w:rsidRDefault="004D2D48" w:rsidP="004D2D48">
      <w:pPr>
        <w:pStyle w:val="ConsPlusNonformat"/>
        <w:jc w:val="both"/>
      </w:pPr>
      <w:r>
        <w:t>возмещений   налогов.   В   случае</w:t>
      </w:r>
      <w:proofErr w:type="gramStart"/>
      <w:r>
        <w:t>,</w:t>
      </w:r>
      <w:proofErr w:type="gramEnd"/>
      <w:r>
        <w:t xml:space="preserve">   если   полученное  значение  является</w:t>
      </w:r>
    </w:p>
    <w:p w:rsidR="004D2D48" w:rsidRDefault="004D2D48" w:rsidP="004D2D48">
      <w:pPr>
        <w:pStyle w:val="ConsPlusNonformat"/>
        <w:jc w:val="both"/>
      </w:pPr>
      <w:r>
        <w:t>отрицательным, то оно отражается со знаком "минус".</w:t>
      </w:r>
    </w:p>
    <w:p w:rsidR="004D2D48" w:rsidRDefault="004D2D48" w:rsidP="004D2D48">
      <w:pPr>
        <w:pStyle w:val="ConsPlusNonformat"/>
        <w:jc w:val="both"/>
      </w:pPr>
      <w:bookmarkStart w:id="8" w:name="P247"/>
      <w:bookmarkEnd w:id="8"/>
      <w:r>
        <w:t xml:space="preserve">    &lt;6</w:t>
      </w:r>
      <w:proofErr w:type="gramStart"/>
      <w:r>
        <w:t>&gt; Б</w:t>
      </w:r>
      <w:proofErr w:type="gramEnd"/>
      <w:r>
        <w:t>ез учета налога на добавленную стоимость и акцизов.</w:t>
      </w:r>
    </w:p>
    <w:p w:rsidR="004D2D48" w:rsidRDefault="004D2D48" w:rsidP="004D2D48">
      <w:pPr>
        <w:pStyle w:val="ConsPlusNonformat"/>
        <w:jc w:val="both"/>
      </w:pPr>
      <w:bookmarkStart w:id="9" w:name="P248"/>
      <w:bookmarkEnd w:id="9"/>
      <w:r>
        <w:t xml:space="preserve">    &lt;7</w:t>
      </w:r>
      <w:proofErr w:type="gramStart"/>
      <w:r>
        <w:t>&gt; Р</w:t>
      </w:r>
      <w:proofErr w:type="gramEnd"/>
      <w:r>
        <w:t>ассчитывается по следующей формуле: строка 1 / строка 2 x 100%.</w:t>
      </w:r>
    </w:p>
    <w:p w:rsidR="004D2D48" w:rsidRDefault="004D2D48" w:rsidP="004D2D48">
      <w:pPr>
        <w:pStyle w:val="ConsPlusNonformat"/>
        <w:jc w:val="both"/>
      </w:pPr>
      <w:bookmarkStart w:id="10" w:name="P249"/>
      <w:bookmarkEnd w:id="10"/>
      <w:r>
        <w:t xml:space="preserve">    &lt;8</w:t>
      </w:r>
      <w:proofErr w:type="gramStart"/>
      <w:r>
        <w:t>&gt; В</w:t>
      </w:r>
      <w:proofErr w:type="gramEnd"/>
      <w:r>
        <w:t xml:space="preserve"> фонд начисленной заработной платы включаются исчисленные в пользу</w:t>
      </w:r>
    </w:p>
    <w:p w:rsidR="004D2D48" w:rsidRDefault="004D2D48" w:rsidP="004D2D48">
      <w:pPr>
        <w:pStyle w:val="ConsPlusNonformat"/>
        <w:jc w:val="both"/>
      </w:pPr>
      <w:r>
        <w:t xml:space="preserve">работников организации </w:t>
      </w:r>
      <w:r w:rsidR="00A57D43">
        <w:t>(</w:t>
      </w:r>
      <w:r w:rsidR="00811BA7">
        <w:t>индивидуального предпринимателя</w:t>
      </w:r>
      <w:r w:rsidR="00A57D43">
        <w:t>)</w:t>
      </w:r>
      <w:r>
        <w:t xml:space="preserve"> суммы оплаты труда</w:t>
      </w:r>
    </w:p>
    <w:p w:rsidR="004D2D48" w:rsidRDefault="004D2D48" w:rsidP="004D2D48">
      <w:pPr>
        <w:pStyle w:val="ConsPlusNonformat"/>
        <w:jc w:val="both"/>
      </w:pPr>
      <w:r>
        <w:t xml:space="preserve">в </w:t>
      </w:r>
      <w:proofErr w:type="gramStart"/>
      <w:r>
        <w:t>денежной</w:t>
      </w:r>
      <w:proofErr w:type="gramEnd"/>
      <w:r>
        <w:t xml:space="preserve">  и  </w:t>
      </w:r>
      <w:proofErr w:type="spellStart"/>
      <w:r>
        <w:t>неденежной</w:t>
      </w:r>
      <w:proofErr w:type="spellEnd"/>
      <w:r>
        <w:t xml:space="preserve">  формах  за отработанное и  неотработанное  время,</w:t>
      </w:r>
    </w:p>
    <w:p w:rsidR="004D2D48" w:rsidRDefault="004D2D48" w:rsidP="004D2D48">
      <w:pPr>
        <w:pStyle w:val="ConsPlusNonformat"/>
        <w:jc w:val="both"/>
      </w:pPr>
      <w:r>
        <w:t>компенсационные выплаты, связанные с режимом   работы   и  условиями  труда,</w:t>
      </w:r>
    </w:p>
    <w:p w:rsidR="004D2D48" w:rsidRDefault="004D2D48" w:rsidP="004D2D48">
      <w:pPr>
        <w:pStyle w:val="ConsPlusNonformat"/>
        <w:jc w:val="both"/>
      </w:pPr>
      <w:r>
        <w:t>доплаты   и   надбавки,  премии,  единовременные   поощрительные  выплаты, а</w:t>
      </w:r>
    </w:p>
    <w:p w:rsidR="004D2D48" w:rsidRDefault="004D2D48" w:rsidP="004D2D48">
      <w:pPr>
        <w:pStyle w:val="ConsPlusNonformat"/>
        <w:jc w:val="both"/>
      </w:pPr>
      <w:r>
        <w:t>также оплата питания и проживания, имеющая систематический характер.</w:t>
      </w:r>
    </w:p>
    <w:p w:rsidR="004D2D48" w:rsidRDefault="004D2D48" w:rsidP="004D2D48">
      <w:pPr>
        <w:pStyle w:val="ConsPlusNonformat"/>
        <w:jc w:val="both"/>
      </w:pPr>
      <w:bookmarkStart w:id="11" w:name="P255"/>
      <w:bookmarkEnd w:id="11"/>
      <w:r>
        <w:t xml:space="preserve">    &lt;9</w:t>
      </w:r>
      <w:proofErr w:type="gramStart"/>
      <w:r>
        <w:t>&gt; Р</w:t>
      </w:r>
      <w:proofErr w:type="gramEnd"/>
      <w:r>
        <w:t>ассчитывается по следующей формуле:</w:t>
      </w:r>
    </w:p>
    <w:p w:rsidR="004D2D48" w:rsidRDefault="004D2D48" w:rsidP="004D2D48">
      <w:pPr>
        <w:pStyle w:val="ConsPlusNonformat"/>
        <w:jc w:val="both"/>
      </w:pPr>
      <w:r>
        <w:t>(строка 4 / строка 5 x 1000) / 12.</w:t>
      </w:r>
    </w:p>
    <w:p w:rsidR="004D2D48" w:rsidRDefault="004D2D48" w:rsidP="004D2D48">
      <w:pPr>
        <w:pStyle w:val="ConsPlusNormal"/>
        <w:jc w:val="both"/>
      </w:pPr>
    </w:p>
    <w:p w:rsidR="004D2D48" w:rsidRDefault="004D2D48" w:rsidP="004D2D48">
      <w:pPr>
        <w:pStyle w:val="ConsPlusNormal"/>
        <w:jc w:val="both"/>
      </w:pPr>
    </w:p>
    <w:p w:rsidR="004D2D48" w:rsidRDefault="004D2D48" w:rsidP="004D2D48">
      <w:pPr>
        <w:pStyle w:val="ConsPlusNormal"/>
        <w:jc w:val="right"/>
        <w:outlineLvl w:val="1"/>
      </w:pPr>
      <w:r>
        <w:t>Приложение N 2</w:t>
      </w:r>
    </w:p>
    <w:p w:rsidR="004D2D48" w:rsidRDefault="004D2D48" w:rsidP="004D2D48">
      <w:pPr>
        <w:pStyle w:val="ConsPlusNormal"/>
        <w:jc w:val="right"/>
      </w:pPr>
      <w:r>
        <w:t>к Порядку присоединения</w:t>
      </w:r>
    </w:p>
    <w:p w:rsidR="004D2D48" w:rsidRDefault="004D2D48" w:rsidP="004D2D48">
      <w:pPr>
        <w:pStyle w:val="ConsPlusNormal"/>
        <w:jc w:val="right"/>
      </w:pPr>
      <w:r>
        <w:t>к Стандарту налоговой открытости</w:t>
      </w:r>
    </w:p>
    <w:p w:rsidR="004D2D48" w:rsidRDefault="004D2D48" w:rsidP="004D2D48">
      <w:pPr>
        <w:pStyle w:val="ConsPlusNormal"/>
        <w:jc w:val="right"/>
      </w:pPr>
      <w:r>
        <w:t>ответственных налогоплательщиков</w:t>
      </w:r>
    </w:p>
    <w:p w:rsidR="004D2D48" w:rsidRDefault="004D2D48" w:rsidP="004D2D48">
      <w:pPr>
        <w:pStyle w:val="ConsPlusNormal"/>
        <w:jc w:val="right"/>
      </w:pPr>
      <w:r>
        <w:t>Республики Башкортостан</w:t>
      </w:r>
    </w:p>
    <w:p w:rsidR="004D2D48" w:rsidRDefault="004D2D48" w:rsidP="004D2D48">
      <w:pPr>
        <w:pStyle w:val="ConsPlusNormal"/>
        <w:jc w:val="both"/>
      </w:pPr>
    </w:p>
    <w:p w:rsidR="00AB4BE6" w:rsidRDefault="00AB4BE6" w:rsidP="00AB4BE6">
      <w:pPr>
        <w:pStyle w:val="ConsPlusNormal"/>
        <w:jc w:val="center"/>
      </w:pPr>
      <w:r>
        <w:rPr>
          <w:color w:val="392C69"/>
        </w:rPr>
        <w:t>Список изменяющих документов</w:t>
      </w:r>
    </w:p>
    <w:p w:rsidR="00AB4BE6" w:rsidRPr="001F1EF5" w:rsidRDefault="00AB4BE6" w:rsidP="00AB4BE6">
      <w:pPr>
        <w:pStyle w:val="ConsPlusNormal"/>
        <w:jc w:val="center"/>
        <w:rPr>
          <w:color w:val="392C69"/>
        </w:rPr>
      </w:pPr>
      <w:r>
        <w:rPr>
          <w:color w:val="392C69"/>
        </w:rPr>
        <w:t xml:space="preserve">(в ред. Постановления Правительства РБ </w:t>
      </w:r>
      <w:r>
        <w:t xml:space="preserve">от 07.06.2022 </w:t>
      </w:r>
      <w:r w:rsidRPr="00B33EDF">
        <w:t>N 28</w:t>
      </w:r>
      <w:r>
        <w:t>4</w:t>
      </w:r>
      <w:r>
        <w:rPr>
          <w:color w:val="392C69"/>
        </w:rPr>
        <w:t>)</w:t>
      </w:r>
    </w:p>
    <w:p w:rsidR="00AB4BE6" w:rsidRDefault="00AB4BE6" w:rsidP="004D2D48">
      <w:pPr>
        <w:pStyle w:val="ConsPlusNormal"/>
        <w:jc w:val="both"/>
      </w:pPr>
    </w:p>
    <w:p w:rsidR="00AB4BE6" w:rsidRDefault="00AB4BE6" w:rsidP="004D2D48">
      <w:pPr>
        <w:pStyle w:val="ConsPlusNormal"/>
        <w:jc w:val="both"/>
      </w:pPr>
      <w:bookmarkStart w:id="12" w:name="_GoBack"/>
      <w:bookmarkEnd w:id="12"/>
    </w:p>
    <w:p w:rsidR="004D2D48" w:rsidRDefault="004D2D48" w:rsidP="00EA19B2">
      <w:pPr>
        <w:pStyle w:val="ConsPlusNonformat"/>
        <w:jc w:val="center"/>
      </w:pPr>
      <w:bookmarkStart w:id="13" w:name="P268"/>
      <w:bookmarkEnd w:id="13"/>
      <w:r>
        <w:t>ПЕРЕЧЕНЬ</w:t>
      </w:r>
    </w:p>
    <w:p w:rsidR="004D2D48" w:rsidRDefault="004D2D48" w:rsidP="00EA19B2">
      <w:pPr>
        <w:pStyle w:val="ConsPlusNonformat"/>
        <w:jc w:val="center"/>
      </w:pPr>
      <w:r>
        <w:t xml:space="preserve">Организаций </w:t>
      </w:r>
      <w:r w:rsidR="00D12B1C">
        <w:t xml:space="preserve">и </w:t>
      </w:r>
      <w:r>
        <w:t>индивидуальных предпринимателей, присоединившихся к Стандарту налоговой открытости ответственных налогоплательщиков</w:t>
      </w:r>
    </w:p>
    <w:p w:rsidR="004D2D48" w:rsidRDefault="004D2D48" w:rsidP="00EA19B2">
      <w:pPr>
        <w:pStyle w:val="ConsPlusNonformat"/>
        <w:jc w:val="center"/>
      </w:pPr>
      <w:r>
        <w:t>Республики Башкортостан, на 20___ год</w:t>
      </w:r>
    </w:p>
    <w:p w:rsidR="004D2D48" w:rsidRDefault="004D2D48" w:rsidP="004D2D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2268"/>
        <w:gridCol w:w="2808"/>
      </w:tblGrid>
      <w:tr w:rsidR="004D2D48" w:rsidTr="0005390E">
        <w:tc>
          <w:tcPr>
            <w:tcW w:w="510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Наименование организации</w:t>
            </w:r>
          </w:p>
          <w:p w:rsidR="004D2D48" w:rsidRDefault="00E00A9B" w:rsidP="009F6B15">
            <w:pPr>
              <w:pStyle w:val="ConsPlusNormal"/>
              <w:jc w:val="center"/>
            </w:pPr>
            <w:r>
              <w:t>(</w:t>
            </w:r>
            <w:r w:rsidR="004D2D48">
              <w:t>индивидуального предпринимателя</w:t>
            </w:r>
            <w:r>
              <w:t>)</w:t>
            </w:r>
          </w:p>
        </w:tc>
        <w:tc>
          <w:tcPr>
            <w:tcW w:w="2268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ИНН организации</w:t>
            </w:r>
          </w:p>
          <w:p w:rsidR="004D2D48" w:rsidRDefault="00E00A9B" w:rsidP="009F6B15">
            <w:pPr>
              <w:pStyle w:val="ConsPlusNormal"/>
              <w:jc w:val="center"/>
            </w:pPr>
            <w:r>
              <w:t>(</w:t>
            </w:r>
            <w:r w:rsidR="004D2D48">
              <w:t>индивидуального предпринимателя</w:t>
            </w:r>
            <w:r>
              <w:t>)</w:t>
            </w:r>
          </w:p>
        </w:tc>
        <w:tc>
          <w:tcPr>
            <w:tcW w:w="2808" w:type="dxa"/>
            <w:vAlign w:val="center"/>
          </w:tcPr>
          <w:p w:rsidR="004D2D48" w:rsidRDefault="004D2D48" w:rsidP="00E00A9B">
            <w:pPr>
              <w:pStyle w:val="ConsPlusNormal"/>
              <w:jc w:val="center"/>
            </w:pPr>
            <w:r>
              <w:t xml:space="preserve">Дата присоединения организации </w:t>
            </w:r>
            <w:r w:rsidR="00E00A9B">
              <w:t>(</w:t>
            </w:r>
            <w:r>
              <w:t>индивидуального предпринимателя</w:t>
            </w:r>
            <w:r w:rsidR="00E00A9B">
              <w:t>)</w:t>
            </w:r>
            <w:r>
              <w:t xml:space="preserve"> к Стандарту</w:t>
            </w:r>
          </w:p>
        </w:tc>
      </w:tr>
      <w:tr w:rsidR="004D2D48" w:rsidTr="0005390E">
        <w:tc>
          <w:tcPr>
            <w:tcW w:w="510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808" w:type="dxa"/>
            <w:vAlign w:val="center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808" w:type="dxa"/>
            <w:vAlign w:val="center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808" w:type="dxa"/>
            <w:vAlign w:val="center"/>
          </w:tcPr>
          <w:p w:rsidR="004D2D48" w:rsidRDefault="004D2D48" w:rsidP="0005390E">
            <w:pPr>
              <w:pStyle w:val="ConsPlusNormal"/>
            </w:pPr>
          </w:p>
        </w:tc>
      </w:tr>
      <w:tr w:rsidR="004D2D48" w:rsidTr="0005390E">
        <w:tc>
          <w:tcPr>
            <w:tcW w:w="510" w:type="dxa"/>
            <w:vAlign w:val="center"/>
          </w:tcPr>
          <w:p w:rsidR="004D2D48" w:rsidRDefault="004D2D48" w:rsidP="0005390E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58" w:type="dxa"/>
            <w:vAlign w:val="center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4D2D48" w:rsidRDefault="004D2D48" w:rsidP="0005390E">
            <w:pPr>
              <w:pStyle w:val="ConsPlusNormal"/>
            </w:pPr>
          </w:p>
        </w:tc>
        <w:tc>
          <w:tcPr>
            <w:tcW w:w="2808" w:type="dxa"/>
            <w:vAlign w:val="center"/>
          </w:tcPr>
          <w:p w:rsidR="004D2D48" w:rsidRDefault="004D2D48" w:rsidP="0005390E">
            <w:pPr>
              <w:pStyle w:val="ConsPlusNormal"/>
            </w:pPr>
          </w:p>
        </w:tc>
      </w:tr>
    </w:tbl>
    <w:p w:rsidR="004D2D48" w:rsidRDefault="004D2D48" w:rsidP="004D2D48">
      <w:pPr>
        <w:pStyle w:val="ConsPlusNormal"/>
        <w:jc w:val="both"/>
      </w:pPr>
    </w:p>
    <w:p w:rsidR="004D2D48" w:rsidRDefault="004D2D48" w:rsidP="004D2D48">
      <w:pPr>
        <w:pStyle w:val="ConsPlusNormal"/>
        <w:jc w:val="both"/>
      </w:pPr>
    </w:p>
    <w:p w:rsidR="004D2D48" w:rsidRDefault="004D2D48" w:rsidP="004D2D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2D48" w:rsidRDefault="004D2D48" w:rsidP="004D2D48"/>
    <w:p w:rsidR="002B1425" w:rsidRDefault="002B1425" w:rsidP="001774FF">
      <w:pPr>
        <w:pStyle w:val="ConsPlusNormal"/>
        <w:jc w:val="both"/>
      </w:pPr>
    </w:p>
    <w:sectPr w:rsidR="002B1425" w:rsidSect="001646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25"/>
    <w:rsid w:val="0001387F"/>
    <w:rsid w:val="00050A4E"/>
    <w:rsid w:val="0005390E"/>
    <w:rsid w:val="000547A6"/>
    <w:rsid w:val="00060813"/>
    <w:rsid w:val="00067C76"/>
    <w:rsid w:val="000C1458"/>
    <w:rsid w:val="000D7E7F"/>
    <w:rsid w:val="0012758B"/>
    <w:rsid w:val="001322A8"/>
    <w:rsid w:val="0013310D"/>
    <w:rsid w:val="00137E3D"/>
    <w:rsid w:val="00164607"/>
    <w:rsid w:val="001774FF"/>
    <w:rsid w:val="00190DBF"/>
    <w:rsid w:val="00194E59"/>
    <w:rsid w:val="001A2746"/>
    <w:rsid w:val="001F1EF5"/>
    <w:rsid w:val="00200667"/>
    <w:rsid w:val="002164CD"/>
    <w:rsid w:val="00226AC1"/>
    <w:rsid w:val="00241EC8"/>
    <w:rsid w:val="00245D22"/>
    <w:rsid w:val="002611B3"/>
    <w:rsid w:val="0026687E"/>
    <w:rsid w:val="002A762E"/>
    <w:rsid w:val="002A7E3A"/>
    <w:rsid w:val="002B10A1"/>
    <w:rsid w:val="002B1425"/>
    <w:rsid w:val="002D792E"/>
    <w:rsid w:val="00376C87"/>
    <w:rsid w:val="00386B68"/>
    <w:rsid w:val="003B155B"/>
    <w:rsid w:val="00432974"/>
    <w:rsid w:val="004438C0"/>
    <w:rsid w:val="00463B2C"/>
    <w:rsid w:val="00474BB2"/>
    <w:rsid w:val="004811B3"/>
    <w:rsid w:val="00484AA0"/>
    <w:rsid w:val="004A00EB"/>
    <w:rsid w:val="004B604B"/>
    <w:rsid w:val="004D1484"/>
    <w:rsid w:val="004D2D48"/>
    <w:rsid w:val="004E21CA"/>
    <w:rsid w:val="005273F1"/>
    <w:rsid w:val="00556244"/>
    <w:rsid w:val="005E59A6"/>
    <w:rsid w:val="00693092"/>
    <w:rsid w:val="006E56D4"/>
    <w:rsid w:val="006E5B0D"/>
    <w:rsid w:val="006F402B"/>
    <w:rsid w:val="00716CAD"/>
    <w:rsid w:val="00720220"/>
    <w:rsid w:val="00767271"/>
    <w:rsid w:val="007B2C89"/>
    <w:rsid w:val="007D0591"/>
    <w:rsid w:val="007E4CF5"/>
    <w:rsid w:val="007F1C6B"/>
    <w:rsid w:val="007F7169"/>
    <w:rsid w:val="00811BA7"/>
    <w:rsid w:val="00813544"/>
    <w:rsid w:val="00817404"/>
    <w:rsid w:val="00820172"/>
    <w:rsid w:val="008A45A8"/>
    <w:rsid w:val="008D6516"/>
    <w:rsid w:val="00910B85"/>
    <w:rsid w:val="00957697"/>
    <w:rsid w:val="00960CC5"/>
    <w:rsid w:val="009770AB"/>
    <w:rsid w:val="009C2C5D"/>
    <w:rsid w:val="009F6B15"/>
    <w:rsid w:val="00A06FAB"/>
    <w:rsid w:val="00A10F05"/>
    <w:rsid w:val="00A57D43"/>
    <w:rsid w:val="00A75124"/>
    <w:rsid w:val="00AA2310"/>
    <w:rsid w:val="00AA31B2"/>
    <w:rsid w:val="00AB4BE6"/>
    <w:rsid w:val="00AE3B91"/>
    <w:rsid w:val="00AE7132"/>
    <w:rsid w:val="00AF1696"/>
    <w:rsid w:val="00AF2C3F"/>
    <w:rsid w:val="00AF348E"/>
    <w:rsid w:val="00B11265"/>
    <w:rsid w:val="00B51C00"/>
    <w:rsid w:val="00B77219"/>
    <w:rsid w:val="00B777B9"/>
    <w:rsid w:val="00B81833"/>
    <w:rsid w:val="00B933CB"/>
    <w:rsid w:val="00BA1244"/>
    <w:rsid w:val="00BB20CE"/>
    <w:rsid w:val="00BC6D31"/>
    <w:rsid w:val="00C07F43"/>
    <w:rsid w:val="00C13573"/>
    <w:rsid w:val="00C56B0C"/>
    <w:rsid w:val="00CF3BA3"/>
    <w:rsid w:val="00D12B1C"/>
    <w:rsid w:val="00D75AE8"/>
    <w:rsid w:val="00D81CF6"/>
    <w:rsid w:val="00D849A2"/>
    <w:rsid w:val="00D86B61"/>
    <w:rsid w:val="00DE53C2"/>
    <w:rsid w:val="00E00A9B"/>
    <w:rsid w:val="00E21BA7"/>
    <w:rsid w:val="00E36356"/>
    <w:rsid w:val="00E403D3"/>
    <w:rsid w:val="00E567C9"/>
    <w:rsid w:val="00E80D83"/>
    <w:rsid w:val="00E94871"/>
    <w:rsid w:val="00EA19B2"/>
    <w:rsid w:val="00EB7692"/>
    <w:rsid w:val="00ED19EA"/>
    <w:rsid w:val="00EF7B59"/>
    <w:rsid w:val="00F03D5B"/>
    <w:rsid w:val="00F725C0"/>
    <w:rsid w:val="00F86BF8"/>
    <w:rsid w:val="00F90048"/>
    <w:rsid w:val="00FB3D5C"/>
    <w:rsid w:val="00FC4C11"/>
    <w:rsid w:val="00FD2986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41D3376A0A4D349BD647E4AA555237EF018DDE9F940329461B249BB48BA66AAAA2FC5B33351363DA3609B76AF5C9DF38CCACF93894C23EE8B74B1mDZ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C41D3376A0A4D349BD647E4AA555237EF018DDE9F9413C9F60B249BB48BA66AAAA2FC5B33351363DA3629B76AF5C9DF38CCACF93894C23EE8B74B1mDZ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C41D3376A0A4D349BD647E4AA555237EF018DDE9F9413C9F60B249BB48BA66AAAA2FC5B33351363DA3639874AF5C9DF38CCACF93894C23EE8B74B1mDZA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8965-2A18-406E-AA00-B3808483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Эльвира Альфредовна</dc:creator>
  <cp:lastModifiedBy>Мухамедова Эльвира Альфредовна</cp:lastModifiedBy>
  <cp:revision>5</cp:revision>
  <cp:lastPrinted>2022-05-06T09:43:00Z</cp:lastPrinted>
  <dcterms:created xsi:type="dcterms:W3CDTF">2022-02-18T07:25:00Z</dcterms:created>
  <dcterms:modified xsi:type="dcterms:W3CDTF">2022-06-10T07:17:00Z</dcterms:modified>
</cp:coreProperties>
</file>